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3150" w14:textId="77777777" w:rsidR="00CE553C" w:rsidRPr="00B96CFF" w:rsidRDefault="00CE553C" w:rsidP="00CE553C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96CFF">
        <w:rPr>
          <w:rFonts w:ascii="Times New Roman" w:hAnsi="Times New Roman" w:cs="Times New Roman"/>
          <w:b/>
          <w:bCs/>
          <w:sz w:val="32"/>
          <w:szCs w:val="32"/>
        </w:rPr>
        <w:t>relation</w:t>
      </w:r>
      <w:proofErr w:type="gramEnd"/>
      <w:r w:rsidRPr="00B96CFF">
        <w:rPr>
          <w:rFonts w:ascii="Times New Roman" w:hAnsi="Times New Roman" w:cs="Times New Roman"/>
          <w:b/>
          <w:bCs/>
          <w:sz w:val="32"/>
          <w:szCs w:val="32"/>
        </w:rPr>
        <w:t>/</w:t>
      </w:r>
      <w:proofErr w:type="spellStart"/>
      <w:r w:rsidRPr="00B96CFF">
        <w:rPr>
          <w:rFonts w:ascii="Times New Roman" w:eastAsia="Songti TC" w:hAnsi="Times New Roman" w:cs="Times New Roman"/>
          <w:b/>
          <w:bCs/>
          <w:sz w:val="32"/>
          <w:szCs w:val="32"/>
        </w:rPr>
        <w:t>关系</w:t>
      </w:r>
      <w:proofErr w:type="spellEnd"/>
      <w:r w:rsidRPr="00B96CFF">
        <w:rPr>
          <w:rFonts w:ascii="Times New Roman" w:eastAsia="Microsoft YaHei" w:hAnsi="Times New Roman" w:cs="Times New Roman"/>
          <w:b/>
          <w:bCs/>
          <w:sz w:val="32"/>
          <w:szCs w:val="32"/>
        </w:rPr>
        <w:t>(</w:t>
      </w:r>
      <w:proofErr w:type="spellStart"/>
      <w:r w:rsidRPr="00B96CFF">
        <w:rPr>
          <w:rFonts w:ascii="Times New Roman" w:eastAsia="Microsoft YaHei" w:hAnsi="Times New Roman" w:cs="Times New Roman"/>
          <w:b/>
          <w:bCs/>
          <w:sz w:val="32"/>
          <w:szCs w:val="32"/>
        </w:rPr>
        <w:t>Guān</w:t>
      </w:r>
      <w:proofErr w:type="spellEnd"/>
      <w:r w:rsidRPr="00B96CFF">
        <w:rPr>
          <w:rFonts w:ascii="Times New Roman" w:eastAsia="Microsoft YaHei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96CFF">
        <w:rPr>
          <w:rFonts w:ascii="Times New Roman" w:eastAsia="Microsoft YaHei" w:hAnsi="Times New Roman" w:cs="Times New Roman"/>
          <w:b/>
          <w:bCs/>
          <w:sz w:val="32"/>
          <w:szCs w:val="32"/>
        </w:rPr>
        <w:t>Xì</w:t>
      </w:r>
      <w:proofErr w:type="spellEnd"/>
      <w:r w:rsidRPr="00B96CFF">
        <w:rPr>
          <w:rFonts w:ascii="Times New Roman" w:eastAsia="Microsoft YaHei" w:hAnsi="Times New Roman" w:cs="Times New Roman"/>
          <w:b/>
          <w:bCs/>
          <w:sz w:val="32"/>
          <w:szCs w:val="32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E553C" w:rsidRPr="00B96CFF" w14:paraId="56B15BC2" w14:textId="77777777" w:rsidTr="00512AA9">
        <w:trPr>
          <w:trHeight w:val="347"/>
          <w:jc w:val="center"/>
        </w:trPr>
        <w:tc>
          <w:tcPr>
            <w:tcW w:w="3020" w:type="dxa"/>
            <w:shd w:val="clear" w:color="auto" w:fill="auto"/>
          </w:tcPr>
          <w:p w14:paraId="078D9FB6" w14:textId="77777777" w:rsidR="00CE553C" w:rsidRPr="00B96CFF" w:rsidRDefault="00CE553C" w:rsidP="00512AA9">
            <w:pPr>
              <w:jc w:val="center"/>
              <w:rPr>
                <w:rFonts w:ascii="Times New Roman" w:eastAsia="DengXian" w:hAnsi="Times New Roman" w:cs="Times New Roman"/>
              </w:rPr>
            </w:pPr>
            <w:proofErr w:type="spellStart"/>
            <w:r w:rsidRPr="00B96CFF">
              <w:rPr>
                <w:rFonts w:ascii="Times New Roman" w:eastAsia="DengXian" w:hAnsi="Times New Roman" w:cs="Times New Roman"/>
              </w:rPr>
              <w:t>European</w:t>
            </w:r>
            <w:proofErr w:type="spellEnd"/>
            <w:r w:rsidRPr="00B96CFF">
              <w:rPr>
                <w:rFonts w:ascii="Times New Roman" w:eastAsia="DengXian" w:hAnsi="Times New Roman" w:cs="Times New Roman"/>
              </w:rPr>
              <w:t xml:space="preserve"> Perspective</w:t>
            </w:r>
          </w:p>
        </w:tc>
        <w:tc>
          <w:tcPr>
            <w:tcW w:w="3021" w:type="dxa"/>
            <w:shd w:val="clear" w:color="auto" w:fill="auto"/>
          </w:tcPr>
          <w:p w14:paraId="5F34ADD5" w14:textId="77777777" w:rsidR="00CE553C" w:rsidRPr="00B96CFF" w:rsidRDefault="00CE553C" w:rsidP="00512AA9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B96CFF">
              <w:rPr>
                <w:rFonts w:ascii="Times New Roman" w:eastAsia="DengXian" w:hAnsi="Times New Roman" w:cs="Times New Roman"/>
              </w:rPr>
              <w:t>Erik Guignard</w:t>
            </w:r>
          </w:p>
        </w:tc>
        <w:tc>
          <w:tcPr>
            <w:tcW w:w="3021" w:type="dxa"/>
            <w:shd w:val="clear" w:color="auto" w:fill="auto"/>
          </w:tcPr>
          <w:p w14:paraId="02FD9E5F" w14:textId="77777777" w:rsidR="00CE553C" w:rsidRPr="00B96CFF" w:rsidRDefault="00CE553C" w:rsidP="00512AA9">
            <w:pPr>
              <w:jc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22</w:t>
            </w:r>
            <w:r w:rsidRPr="00B96CFF">
              <w:rPr>
                <w:rFonts w:ascii="Times New Roman" w:eastAsia="DengXian" w:hAnsi="Times New Roman" w:cs="Times New Roman"/>
              </w:rPr>
              <w:t xml:space="preserve"> </w:t>
            </w:r>
            <w:proofErr w:type="spellStart"/>
            <w:r w:rsidRPr="00B96CFF">
              <w:rPr>
                <w:rFonts w:ascii="Times New Roman" w:eastAsia="DengXian" w:hAnsi="Times New Roman" w:cs="Times New Roman"/>
              </w:rPr>
              <w:t>Apr</w:t>
            </w:r>
            <w:proofErr w:type="spellEnd"/>
            <w:r w:rsidRPr="00B96CFF">
              <w:rPr>
                <w:rFonts w:ascii="Times New Roman" w:eastAsia="DengXian" w:hAnsi="Times New Roman" w:cs="Times New Roman"/>
              </w:rPr>
              <w:t xml:space="preserve"> 2022</w:t>
            </w:r>
          </w:p>
        </w:tc>
      </w:tr>
    </w:tbl>
    <w:p w14:paraId="7963C51B" w14:textId="148E909F" w:rsidR="00A60D8D" w:rsidRPr="00CE553C" w:rsidRDefault="009F1216" w:rsidP="00CE553C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CE553C">
        <w:rPr>
          <w:rFonts w:ascii="Songti TC" w:eastAsia="Songti TC" w:hAnsi="Songti TC" w:cs="Times New Roman"/>
          <w:lang w:eastAsia="zh-CN"/>
        </w:rPr>
        <w:t>如果关系的概念显现为一个基本概念，并以非常普遍的方式来描述，或是去说明任意两个实体间的关系，（但这）似乎很难为它找到一个普遍的定义。而另一方面，我们有可能在特定的语境下阐明其轮廓。这里所选取的例子是，对孔子而言，于任何人来说，人与关系是第一位的，也即</w:t>
      </w:r>
      <w:r w:rsidRPr="00CE553C">
        <w:rPr>
          <w:rFonts w:ascii="Songti TC" w:eastAsia="Songti TC" w:hAnsi="Songti TC" w:cs="Times New Roman"/>
          <w:i/>
          <w:iCs/>
          <w:lang w:eastAsia="zh-CN"/>
        </w:rPr>
        <w:t>人类（间的）关系</w:t>
      </w:r>
      <w:r w:rsidRPr="00CE553C">
        <w:rPr>
          <w:rFonts w:ascii="Songti TC" w:eastAsia="Songti TC" w:hAnsi="Songti TC" w:cs="Times New Roman"/>
          <w:lang w:eastAsia="zh-CN"/>
        </w:rPr>
        <w:t>（</w:t>
      </w:r>
      <w:proofErr w:type="spellStart"/>
      <w:r w:rsidRPr="00CE553C">
        <w:rPr>
          <w:rFonts w:ascii="Songti TC" w:eastAsia="Songti TC" w:hAnsi="Songti TC" w:cs="Times New Roman"/>
          <w:lang w:eastAsia="zh-CN"/>
        </w:rPr>
        <w:t>human</w:t>
      </w:r>
      <w:proofErr w:type="spellEnd"/>
      <w:r w:rsidRPr="00CE553C">
        <w:rPr>
          <w:rFonts w:ascii="Songti TC" w:eastAsia="Songti TC" w:hAnsi="Songti TC" w:cs="Times New Roman"/>
          <w:lang w:eastAsia="zh-CN"/>
        </w:rPr>
        <w:t xml:space="preserve"> relations）：的确，在这一语境下，由于日常生活中经常使用</w:t>
      </w:r>
      <w:r w:rsidRPr="00CE553C">
        <w:rPr>
          <w:rFonts w:ascii="Songti TC" w:eastAsia="Songti TC" w:hAnsi="Songti TC" w:cs="Times New Roman"/>
          <w:i/>
          <w:iCs/>
          <w:lang w:eastAsia="zh-CN"/>
        </w:rPr>
        <w:t>关系</w:t>
      </w:r>
      <w:r w:rsidRPr="00CE553C">
        <w:rPr>
          <w:rFonts w:ascii="Songti TC" w:eastAsia="Songti TC" w:hAnsi="Songti TC" w:cs="Times New Roman"/>
          <w:lang w:eastAsia="zh-CN"/>
        </w:rPr>
        <w:t>一词，其可能会遭到误解。而在别处，比如“理性”（科学）的语境下，先验地（这种概念），则更容易（导致）分歧，而非误解。</w:t>
      </w:r>
      <w:r w:rsidRPr="00CE553C">
        <w:rPr>
          <w:rStyle w:val="Funotenzeichen"/>
          <w:rFonts w:ascii="Songti TC" w:eastAsia="Songti TC" w:hAnsi="Songti TC" w:cs="Times New Roman"/>
          <w:lang w:val="en-US"/>
        </w:rPr>
        <w:footnoteReference w:id="1"/>
      </w:r>
    </w:p>
    <w:p w14:paraId="038D9765" w14:textId="77777777" w:rsidR="00A60D8D" w:rsidRPr="00CE553C" w:rsidRDefault="009F1216" w:rsidP="00CE553C">
      <w:pPr>
        <w:spacing w:before="120" w:after="120"/>
        <w:ind w:firstLine="488"/>
        <w:jc w:val="both"/>
        <w:rPr>
          <w:rFonts w:ascii="Songti TC" w:eastAsia="Songti TC" w:hAnsi="Songti TC" w:cs="Times New Roman"/>
          <w:b/>
          <w:bCs/>
          <w:color w:val="000000" w:themeColor="text1"/>
          <w:lang w:val="en-US" w:eastAsia="zh-CN"/>
        </w:rPr>
      </w:pPr>
      <w:r w:rsidRPr="00CE553C">
        <w:rPr>
          <w:rFonts w:ascii="Songti TC" w:eastAsia="Songti TC" w:hAnsi="Songti TC" w:cs="Times New Roman"/>
          <w:b/>
          <w:bCs/>
          <w:color w:val="000000" w:themeColor="text1"/>
          <w:lang w:eastAsia="zh-CN"/>
        </w:rPr>
        <w:t>人类关系</w:t>
      </w:r>
    </w:p>
    <w:p w14:paraId="69F5B775" w14:textId="77777777" w:rsidR="00A60D8D" w:rsidRPr="00CE553C" w:rsidRDefault="009F1216" w:rsidP="00CE553C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CE553C">
        <w:rPr>
          <w:rFonts w:ascii="Songti TC" w:eastAsia="Songti TC" w:hAnsi="Songti TC" w:cs="Times New Roman"/>
          <w:lang w:eastAsia="zh-CN"/>
        </w:rPr>
        <w:t>人际关系，以及社会人际关系，都是在家族中每一个体出生后所建立的，其嵌入在亲属关系与同盟关系之中，而后在复杂的社会结构中，借助个人同社会关系持续下去。</w:t>
      </w:r>
    </w:p>
    <w:p w14:paraId="128C056F" w14:textId="77777777" w:rsidR="00A60D8D" w:rsidRPr="00CE553C" w:rsidRDefault="009F1216" w:rsidP="00CE553C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CE553C">
        <w:rPr>
          <w:rFonts w:ascii="Songti TC" w:eastAsia="Songti TC" w:hAnsi="Songti TC" w:cs="Times New Roman"/>
          <w:lang w:eastAsia="zh-CN"/>
        </w:rPr>
        <w:t>最简单的情形是二分体的（dyadic）：X（一个人，一个团体，......）与Y有一种关系R（商业，家庭，工作，......），或是（一个熟人，一个朋友，......）。但在第三方（调解人）xRy/z的干涉下，它很容易变成三分体的（triadic），并在一个或多或少延伸的网络xRyRzR完成超越...</w:t>
      </w:r>
    </w:p>
    <w:p w14:paraId="20B92574" w14:textId="77777777" w:rsidR="00A60D8D" w:rsidRPr="00CE553C" w:rsidRDefault="009F1216" w:rsidP="00CE553C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CE553C">
        <w:rPr>
          <w:rFonts w:ascii="Songti TC" w:eastAsia="Songti TC" w:hAnsi="Songti TC" w:cs="Times New Roman"/>
          <w:lang w:eastAsia="zh-CN"/>
        </w:rPr>
        <w:t>为了迈向更精确的描述，此处还有两个概念可与人际关系密切相关。</w:t>
      </w:r>
    </w:p>
    <w:p w14:paraId="79DE9A78" w14:textId="77777777" w:rsidR="00A60D8D" w:rsidRPr="00CE553C" w:rsidRDefault="009F1216" w:rsidP="00CE553C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CE553C">
        <w:rPr>
          <w:rFonts w:ascii="Songti TC" w:eastAsia="Songti TC" w:hAnsi="Songti TC" w:cs="Times New Roman"/>
          <w:lang w:eastAsia="zh-CN"/>
        </w:rPr>
        <w:t>-第一个，强调了它的特点，是</w:t>
      </w:r>
      <w:r w:rsidRPr="00CE553C">
        <w:rPr>
          <w:rFonts w:ascii="Songti TC" w:eastAsia="Songti TC" w:hAnsi="Songti TC" w:cs="Times New Roman"/>
          <w:i/>
          <w:iCs/>
          <w:lang w:eastAsia="zh-CN"/>
        </w:rPr>
        <w:t>“联系”</w:t>
      </w:r>
      <w:r w:rsidRPr="00CE553C">
        <w:rPr>
          <w:rFonts w:ascii="Songti TC" w:eastAsia="Songti TC" w:hAnsi="Songti TC" w:cs="Times New Roman"/>
          <w:lang w:eastAsia="zh-CN"/>
        </w:rPr>
        <w:t>（link），因为，拿孔子的话释义便是说，在社会联系之外，人性并不存在，而且，由于其多重性同丰富性，（相互）联系构成了共同体的生活，无论它们是积极的（团结、友谊、平等、共享）、消极的（暴力、服从、依属、掠夺）、中性的或多义的（竞争、权威、等级），而这一切的根据，罕是普遍的价值观，因为共同体往往倾向于赞同区分他们的那一切，而不是使他们团结的一切。</w:t>
      </w:r>
    </w:p>
    <w:p w14:paraId="6BD8EACC" w14:textId="77777777" w:rsidR="00A60D8D" w:rsidRPr="00CE553C" w:rsidRDefault="009F1216" w:rsidP="00CE553C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CE553C">
        <w:rPr>
          <w:rFonts w:ascii="Songti TC" w:eastAsia="Songti TC" w:hAnsi="Songti TC" w:cs="Times New Roman"/>
          <w:lang w:eastAsia="zh-CN"/>
        </w:rPr>
        <w:t>-第二种，则是日常生活的一部分，是（身处）同一共同体的人之间，用礼物、语言或符号所达成的</w:t>
      </w:r>
      <w:r w:rsidRPr="00CE553C">
        <w:rPr>
          <w:rFonts w:ascii="Songti TC" w:eastAsia="Songti TC" w:hAnsi="Songti TC" w:cs="Times New Roman"/>
          <w:i/>
          <w:iCs/>
          <w:lang w:eastAsia="zh-CN"/>
        </w:rPr>
        <w:t>“交换”</w:t>
      </w:r>
      <w:r w:rsidRPr="00CE553C">
        <w:rPr>
          <w:rFonts w:ascii="Songti TC" w:eastAsia="Songti TC" w:hAnsi="Songti TC" w:cs="Times New Roman"/>
          <w:lang w:eastAsia="zh-CN"/>
        </w:rPr>
        <w:t>。从词源上来看，拉丁文中</w:t>
      </w:r>
      <w:r w:rsidRPr="00CE553C">
        <w:rPr>
          <w:rFonts w:ascii="Songti TC" w:eastAsia="Songti TC" w:hAnsi="Songti TC" w:cs="Times New Roman"/>
          <w:i/>
          <w:iCs/>
          <w:lang w:eastAsia="zh-CN"/>
        </w:rPr>
        <w:t>“公共的，共同的”</w:t>
      </w:r>
      <w:r w:rsidRPr="00CE553C">
        <w:rPr>
          <w:rFonts w:ascii="Songti TC" w:eastAsia="Songti TC" w:hAnsi="Songti TC" w:cs="Times New Roman"/>
          <w:lang w:eastAsia="zh-CN"/>
        </w:rPr>
        <w:t>（com*munis）</w:t>
      </w:r>
      <w:r w:rsidRPr="00CE553C">
        <w:rPr>
          <w:rFonts w:ascii="Songti TC" w:eastAsia="Songti TC" w:hAnsi="Songti TC" w:cs="Times New Roman"/>
          <w:lang w:eastAsia="zh-CN"/>
        </w:rPr>
        <w:lastRenderedPageBreak/>
        <w:t>一词,在词根上暗示了去共同分享（com意为</w:t>
      </w:r>
      <w:r w:rsidRPr="00CE553C">
        <w:rPr>
          <w:rFonts w:ascii="Songti TC" w:eastAsia="Songti TC" w:hAnsi="Songti TC" w:cs="Times New Roman"/>
          <w:i/>
          <w:iCs/>
          <w:lang w:eastAsia="zh-CN"/>
        </w:rPr>
        <w:t>与、一并</w:t>
      </w:r>
      <w:r w:rsidRPr="00CE553C">
        <w:rPr>
          <w:rFonts w:ascii="Songti TC" w:eastAsia="Songti TC" w:hAnsi="Songti TC" w:cs="Times New Roman"/>
          <w:lang w:eastAsia="zh-CN"/>
        </w:rPr>
        <w:t>）以及既是礼物又是义务的东西，</w:t>
      </w:r>
      <w:r w:rsidRPr="00CE553C">
        <w:rPr>
          <w:rFonts w:ascii="Songti TC" w:eastAsia="Songti TC" w:hAnsi="Songti TC" w:cs="Times New Roman"/>
          <w:i/>
          <w:iCs/>
          <w:lang w:eastAsia="zh-CN"/>
        </w:rPr>
        <w:t>“担负、义务、礼物”（munus）</w:t>
      </w:r>
      <w:r w:rsidRPr="00CE553C">
        <w:rPr>
          <w:rFonts w:ascii="Songti TC" w:eastAsia="Songti TC" w:hAnsi="Songti TC" w:cs="Times New Roman"/>
          <w:lang w:eastAsia="zh-CN"/>
        </w:rPr>
        <w:t>，它标志着共同体内交互（交换）中蕴藏的互惠性，同时也提出了一个问题。</w:t>
      </w:r>
      <w:r w:rsidRPr="00CE553C">
        <w:rPr>
          <w:rFonts w:ascii="Songti TC" w:eastAsia="Songti TC" w:hAnsi="Songti TC" w:cs="Times New Roman"/>
          <w:i/>
          <w:iCs/>
          <w:lang w:eastAsia="zh-CN"/>
        </w:rPr>
        <w:t>“</w:t>
      </w:r>
      <w:r w:rsidRPr="00CE553C">
        <w:rPr>
          <w:rFonts w:ascii="Songti TC" w:eastAsia="Songti TC" w:hAnsi="Songti TC" w:cs="Times New Roman"/>
          <w:lang w:eastAsia="zh-CN"/>
        </w:rPr>
        <w:t>我们</w:t>
      </w:r>
      <w:r w:rsidRPr="00CE553C">
        <w:rPr>
          <w:rFonts w:ascii="Songti TC" w:eastAsia="Songti TC" w:hAnsi="Songti TC" w:cs="Times New Roman"/>
          <w:b/>
          <w:bCs/>
          <w:i/>
          <w:iCs/>
          <w:lang w:eastAsia="zh-CN"/>
        </w:rPr>
        <w:t>向</w:t>
      </w:r>
      <w:r w:rsidRPr="00CE553C">
        <w:rPr>
          <w:rFonts w:ascii="Songti TC" w:eastAsia="Songti TC" w:hAnsi="Songti TC" w:cs="Times New Roman"/>
          <w:b/>
          <w:bCs/>
          <w:lang w:eastAsia="zh-CN"/>
        </w:rPr>
        <w:t>谁</w:t>
      </w:r>
      <w:r w:rsidRPr="00CE553C">
        <w:rPr>
          <w:rFonts w:ascii="Songti TC" w:eastAsia="Songti TC" w:hAnsi="Songti TC" w:cs="Times New Roman"/>
          <w:lang w:eastAsia="zh-CN"/>
        </w:rPr>
        <w:t>给予，我们</w:t>
      </w:r>
      <w:r w:rsidRPr="00CE553C">
        <w:rPr>
          <w:rFonts w:ascii="Songti TC" w:eastAsia="Songti TC" w:hAnsi="Songti TC" w:cs="Times New Roman"/>
          <w:b/>
          <w:bCs/>
          <w:i/>
          <w:iCs/>
          <w:lang w:eastAsia="zh-CN"/>
        </w:rPr>
        <w:t>从谁</w:t>
      </w:r>
      <w:r w:rsidRPr="00CE553C">
        <w:rPr>
          <w:rFonts w:ascii="Songti TC" w:eastAsia="Songti TC" w:hAnsi="Songti TC" w:cs="Times New Roman"/>
          <w:lang w:eastAsia="zh-CN"/>
        </w:rPr>
        <w:t>那里得到.</w:t>
      </w:r>
      <w:r w:rsidRPr="00CE553C">
        <w:rPr>
          <w:rFonts w:ascii="Songti TC" w:eastAsia="Songti TC" w:hAnsi="Songti TC" w:cs="Times New Roman"/>
          <w:i/>
          <w:iCs/>
          <w:lang w:eastAsia="zh-CN"/>
        </w:rPr>
        <w:t>.....？“</w:t>
      </w:r>
      <w:r w:rsidRPr="00CE553C">
        <w:rPr>
          <w:rFonts w:ascii="Songti TC" w:eastAsia="Songti TC" w:hAnsi="Songti TC" w:cs="Times New Roman"/>
          <w:lang w:eastAsia="zh-CN"/>
        </w:rPr>
        <w:t>一种关系将分离的东西联合在一起，将联合的东西分离开来，但这同样由行动者所定义。</w:t>
      </w:r>
    </w:p>
    <w:p w14:paraId="7BB48207" w14:textId="77777777" w:rsidR="00A60D8D" w:rsidRPr="00CE553C" w:rsidRDefault="009F1216" w:rsidP="00CE553C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CE553C">
        <w:rPr>
          <w:rFonts w:ascii="Songti TC" w:eastAsia="Songti TC" w:hAnsi="Songti TC" w:cs="Times New Roman"/>
          <w:lang w:eastAsia="zh-CN"/>
        </w:rPr>
        <w:t>然而答案并不确凿（univocal），因为人之概念的变化，从未因社会和时代的不同而停止。</w:t>
      </w:r>
    </w:p>
    <w:p w14:paraId="56ED325D" w14:textId="77777777" w:rsidR="00A60D8D" w:rsidRPr="00CE553C" w:rsidRDefault="009F1216" w:rsidP="00CE553C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CE553C">
        <w:rPr>
          <w:rFonts w:ascii="Songti TC" w:eastAsia="Songti TC" w:hAnsi="Songti TC" w:cs="Times New Roman"/>
          <w:lang w:eastAsia="zh-CN"/>
        </w:rPr>
        <w:t>F. 滕尼斯（Tönnies）（1855-1935）提议区分“社群的（共同体的）”愿景（Gemeinschaft），也即是涉及小规模的、流动性不强的人口，具有明确的信仰主体，并借助特定的父母关系、合作的愿景来达成某一认同的群体，与之相对的是 “社会的”愿景（Gesellshaft），在其中，个体作为一个人，没有以如此严苛的方式与其亲属整合。而后婚姻禁制和互惠的严谨性，因对其它价值的偏好而被模糊化，在那些价值中，交换愈加受到法律的管制。</w:t>
      </w:r>
    </w:p>
    <w:p w14:paraId="64B2024F" w14:textId="77777777" w:rsidR="00A60D8D" w:rsidRPr="00CE553C" w:rsidRDefault="009F1216" w:rsidP="00CE553C">
      <w:pPr>
        <w:spacing w:before="120" w:after="120"/>
        <w:ind w:firstLine="488"/>
        <w:jc w:val="both"/>
        <w:rPr>
          <w:rFonts w:ascii="Songti TC" w:eastAsia="Songti TC" w:hAnsi="Songti TC" w:cs="Times New Roman"/>
          <w:b/>
          <w:bCs/>
          <w:lang w:val="en-US" w:eastAsia="zh-CN"/>
        </w:rPr>
      </w:pPr>
      <w:r w:rsidRPr="00CE553C">
        <w:rPr>
          <w:rFonts w:ascii="Songti TC" w:eastAsia="Songti TC" w:hAnsi="Songti TC" w:cs="Times New Roman"/>
          <w:b/>
          <w:bCs/>
          <w:lang w:eastAsia="zh-CN"/>
        </w:rPr>
        <w:t>*在“社群”的视野中进行交互（Gemeinshaft）</w:t>
      </w:r>
    </w:p>
    <w:p w14:paraId="1C0F7974" w14:textId="77777777" w:rsidR="00A60D8D" w:rsidRPr="00CE553C" w:rsidRDefault="009F1216" w:rsidP="00CE553C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CE553C">
        <w:rPr>
          <w:rFonts w:ascii="Songti TC" w:eastAsia="Songti TC" w:hAnsi="Songti TC" w:cs="Times New Roman"/>
          <w:lang w:eastAsia="zh-CN"/>
        </w:rPr>
        <w:t>从这个落脚点而言，回顾一下人（person）的概念是有意义的，让我们从一个重要的例子开始。在塞内加尔的塞雷尔人（Sereers）中，人被视作是几种关系的交集：骨肉关系，源自于母亲与其母系；血缘关系，借助于其父亲同他的母系（至少在萨芬人（Saafen）中是如此）；但也有长幼关系——年长者/年幼者关系；最后是友谊关系，即每个人所沿袭的“鼻友”（nose-friends）的关系，它遵循长幼顺序。于此之外，每个人都会收到他/她的“</w:t>
      </w:r>
      <w:r w:rsidRPr="00CE553C">
        <w:rPr>
          <w:rFonts w:ascii="Songti TC" w:eastAsia="Songti TC" w:hAnsi="Songti TC" w:cs="Times New Roman"/>
          <w:i/>
          <w:iCs/>
          <w:lang w:eastAsia="zh-CN"/>
        </w:rPr>
        <w:t>气味</w:t>
      </w:r>
      <w:r w:rsidRPr="00CE553C">
        <w:rPr>
          <w:rFonts w:ascii="Songti TC" w:eastAsia="Songti TC" w:hAnsi="Songti TC" w:cs="Times New Roman"/>
          <w:lang w:eastAsia="zh-CN"/>
        </w:rPr>
        <w:t>“（kiili），由他/她同源亲属（cognatic kin）的祖先的</w:t>
      </w:r>
      <w:r w:rsidRPr="00CE553C">
        <w:rPr>
          <w:rFonts w:ascii="Songti TC" w:eastAsia="Songti TC" w:hAnsi="Songti TC" w:cs="Times New Roman"/>
          <w:i/>
          <w:iCs/>
          <w:lang w:eastAsia="zh-CN"/>
        </w:rPr>
        <w:t>转世的灵魂</w:t>
      </w:r>
      <w:r w:rsidRPr="00CE553C">
        <w:rPr>
          <w:rFonts w:ascii="Songti TC" w:eastAsia="Songti TC" w:hAnsi="Songti TC" w:cs="Times New Roman"/>
          <w:lang w:eastAsia="zh-CN"/>
        </w:rPr>
        <w:t>（coona）所携带，从而给予灵魂和保护，直到他/她断奶为止。</w:t>
      </w:r>
    </w:p>
    <w:p w14:paraId="18B30812" w14:textId="77777777" w:rsidR="00A60D8D" w:rsidRPr="00CE553C" w:rsidRDefault="009F1216" w:rsidP="00CE553C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CE553C">
        <w:rPr>
          <w:rFonts w:ascii="Songti TC" w:eastAsia="Songti TC" w:hAnsi="Songti TC" w:cs="Times New Roman"/>
          <w:lang w:eastAsia="zh-CN"/>
        </w:rPr>
        <w:t>每一个人，除却必须为其找到额外灵魂来源的双胞胎之外，故此都变得独一无二，而由这些交叉口所决定，就如同那些水手们，根据远离陆地标记的，星星的高度线（height lines ）来确定他们的位置（那般）。生命自所有这些关系的，同步且独特的存在中产生，故而所有的这些名字，使承载者成为一个独一无二的存在，令其融入一个主要依据代际间的互惠与连续性原则来运作的社群。</w:t>
      </w:r>
    </w:p>
    <w:p w14:paraId="27496578" w14:textId="77777777" w:rsidR="00A60D8D" w:rsidRPr="00CE553C" w:rsidRDefault="009F1216" w:rsidP="00CE553C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CE553C">
        <w:rPr>
          <w:rFonts w:ascii="Songti TC" w:eastAsia="Songti TC" w:hAnsi="Songti TC" w:cs="Times New Roman"/>
          <w:lang w:eastAsia="zh-CN"/>
        </w:rPr>
        <w:t>我们可以区分出两个典型的交换形象，它们描绘了人与人之间关系，且都与权威关系</w:t>
      </w:r>
      <w:r w:rsidRPr="00CE553C">
        <w:rPr>
          <w:rStyle w:val="Funotenzeichen"/>
          <w:rFonts w:ascii="Songti TC" w:eastAsia="Songti TC" w:hAnsi="Songti TC" w:cs="Times New Roman"/>
          <w:lang w:val="en-US"/>
        </w:rPr>
        <w:footnoteReference w:id="2"/>
      </w:r>
      <w:r w:rsidRPr="00CE553C">
        <w:rPr>
          <w:rFonts w:ascii="Songti TC" w:eastAsia="Songti TC" w:hAnsi="Songti TC" w:cs="Times New Roman"/>
          <w:lang w:eastAsia="zh-CN"/>
        </w:rPr>
        <w:t>不同，即社群的分享与商业交互（或是任何没有第三方参与的，二分体交换）。这些都是关乎斗争、竞争甚至于毁灭（potlach）的</w:t>
      </w:r>
      <w:r w:rsidRPr="00CE553C">
        <w:rPr>
          <w:rFonts w:ascii="Songti TC" w:eastAsia="Songti TC" w:hAnsi="Songti TC" w:cs="Times New Roman"/>
          <w:i/>
          <w:iCs/>
          <w:lang w:eastAsia="zh-CN"/>
        </w:rPr>
        <w:t>争斗型交互</w:t>
      </w:r>
      <w:r w:rsidRPr="00CE553C">
        <w:rPr>
          <w:rFonts w:ascii="Songti TC" w:eastAsia="Songti TC" w:hAnsi="Songti TC" w:cs="Times New Roman"/>
          <w:lang w:eastAsia="zh-CN"/>
        </w:rPr>
        <w:t>，以及塞内卡（《三女</w:t>
      </w:r>
      <w:r w:rsidRPr="00CE553C">
        <w:rPr>
          <w:rFonts w:ascii="Songti TC" w:eastAsia="Songti TC" w:hAnsi="Songti TC" w:cs="Times New Roman"/>
          <w:lang w:eastAsia="zh-CN"/>
        </w:rPr>
        <w:lastRenderedPageBreak/>
        <w:t>神寓言》（Allegory of the Three Graces））和马塞尔·莫斯（《关于礼物的论文》（Essay on the Gift），1923年）中的</w:t>
      </w:r>
      <w:r w:rsidRPr="00CE553C">
        <w:rPr>
          <w:rFonts w:ascii="Songti TC" w:eastAsia="Songti TC" w:hAnsi="Songti TC" w:cs="Times New Roman"/>
          <w:i/>
          <w:iCs/>
          <w:lang w:eastAsia="zh-CN"/>
        </w:rPr>
        <w:t>三角交换</w:t>
      </w:r>
      <w:r w:rsidRPr="00CE553C">
        <w:rPr>
          <w:rFonts w:ascii="Songti TC" w:eastAsia="Songti TC" w:hAnsi="Songti TC" w:cs="Times New Roman"/>
          <w:lang w:eastAsia="zh-CN"/>
        </w:rPr>
        <w:t>，它将交互镌刻于一个礼仪式的网络中：</w:t>
      </w:r>
      <w:r w:rsidRPr="00CE553C">
        <w:rPr>
          <w:rFonts w:ascii="Songti TC" w:eastAsia="Songti TC" w:hAnsi="Songti TC" w:cs="Times New Roman"/>
          <w:i/>
          <w:iCs/>
          <w:lang w:eastAsia="zh-CN"/>
        </w:rPr>
        <w:t>给予、接受、回报“礼物”</w:t>
      </w:r>
      <w:r w:rsidRPr="00CE553C">
        <w:rPr>
          <w:rFonts w:ascii="Songti TC" w:eastAsia="Songti TC" w:hAnsi="Songti TC" w:cs="Times New Roman"/>
          <w:lang w:eastAsia="zh-CN"/>
        </w:rPr>
        <w:t>（和回礼）是一个相互强加的过程，它的象征意义，确保了社会关系的恒久再生。</w:t>
      </w:r>
    </w:p>
    <w:p w14:paraId="45C678A5" w14:textId="77777777" w:rsidR="00A60D8D" w:rsidRPr="00CE553C" w:rsidRDefault="009F1216" w:rsidP="00CE553C">
      <w:pPr>
        <w:spacing w:before="120" w:after="120"/>
        <w:ind w:firstLine="488"/>
        <w:jc w:val="both"/>
        <w:rPr>
          <w:rFonts w:ascii="Songti TC" w:eastAsia="Songti TC" w:hAnsi="Songti TC" w:cs="Times New Roman"/>
          <w:vertAlign w:val="superscript"/>
          <w:lang w:val="en-US" w:eastAsia="zh-CN"/>
        </w:rPr>
      </w:pPr>
      <w:r w:rsidRPr="00CE553C">
        <w:rPr>
          <w:rFonts w:ascii="Songti TC" w:eastAsia="Songti TC" w:hAnsi="Songti TC" w:cs="Times New Roman"/>
          <w:b/>
          <w:bCs/>
          <w:lang w:eastAsia="zh-CN"/>
        </w:rPr>
        <w:t>礼仪式的礼物</w:t>
      </w:r>
      <w:r w:rsidRPr="00CE553C">
        <w:rPr>
          <w:rFonts w:ascii="Songti TC" w:eastAsia="Songti TC" w:hAnsi="Songti TC" w:cs="Times New Roman"/>
          <w:lang w:eastAsia="zh-CN"/>
        </w:rPr>
        <w:t>，是那些在经过了或多或少的广泛流程后，回到最初捐赠者手上的（礼物）。这些是特殊的礼物，在其中，关系比个体更为重要；它既非商业性的，也并非不可分割的，它们确保了对地位的相互承认，并标志着对同一关系网的互惠归属，这可能超越了一个团体的边界。这一切，都是涉及几个伙伴间的交换和一种延迟互惠。A给B，B给C，C直接给A或给B以让他回馈给A，回馈并非是等价的，这证实了交换的互惠性，因为回馈并非取消关系，而是预示着关系的更新。</w:t>
      </w:r>
    </w:p>
    <w:p w14:paraId="6A0F39CA" w14:textId="77777777" w:rsidR="00A60D8D" w:rsidRPr="00CE553C" w:rsidRDefault="009F1216" w:rsidP="00CE553C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CE553C">
        <w:rPr>
          <w:rFonts w:ascii="Songti TC" w:eastAsia="Songti TC" w:hAnsi="Songti TC" w:cs="Times New Roman"/>
          <w:lang w:eastAsia="zh-CN"/>
        </w:rPr>
        <w:t>这些互惠是</w:t>
      </w:r>
      <w:r w:rsidRPr="00CE553C">
        <w:rPr>
          <w:rFonts w:ascii="Songti TC" w:eastAsia="Songti TC" w:hAnsi="Songti TC" w:cs="Times New Roman"/>
          <w:b/>
          <w:bCs/>
          <w:i/>
          <w:iCs/>
          <w:lang w:eastAsia="zh-CN"/>
        </w:rPr>
        <w:t>三角关系</w:t>
      </w:r>
      <w:r w:rsidRPr="00CE553C">
        <w:rPr>
          <w:rFonts w:ascii="Songti TC" w:eastAsia="Songti TC" w:hAnsi="Songti TC" w:cs="Times New Roman"/>
          <w:lang w:eastAsia="zh-CN"/>
        </w:rPr>
        <w:t>的基础：在那些婚姻联盟中，若是当一个女性没有得到她“兄弟”</w:t>
      </w:r>
      <w:r w:rsidRPr="00CE553C">
        <w:rPr>
          <w:rStyle w:val="Funotenzeichen"/>
          <w:rFonts w:ascii="Songti TC" w:eastAsia="Songti TC" w:hAnsi="Songti TC" w:cs="Times New Roman"/>
          <w:lang w:val="en-US"/>
        </w:rPr>
        <w:footnoteReference w:id="3"/>
      </w:r>
      <w:r w:rsidRPr="00CE553C">
        <w:rPr>
          <w:rFonts w:ascii="Songti TC" w:eastAsia="Songti TC" w:hAnsi="Songti TC" w:cs="Times New Roman"/>
          <w:lang w:eastAsia="zh-CN"/>
        </w:rPr>
        <w:t>的同意时，她就不能婚嫁，代价就是延迟互惠；抑或，像乌达楞图阿雷格人（Udalen Tuaregs）那般，世系之间的关系，一丝不苟地以普遍化交换的三元（ternary ）模式进行；并且，在亲属关系</w:t>
      </w:r>
      <w:r w:rsidRPr="00CE553C">
        <w:rPr>
          <w:rStyle w:val="Funotenzeichen"/>
          <w:rFonts w:ascii="Songti TC" w:eastAsia="Songti TC" w:hAnsi="Songti TC" w:cs="Times New Roman"/>
          <w:lang w:val="en-US"/>
        </w:rPr>
        <w:footnoteReference w:id="4"/>
      </w:r>
      <w:r w:rsidRPr="00CE553C">
        <w:rPr>
          <w:rFonts w:ascii="Songti TC" w:eastAsia="Songti TC" w:hAnsi="Songti TC" w:cs="Times New Roman"/>
          <w:lang w:eastAsia="zh-CN"/>
        </w:rPr>
        <w:t>的隶属中，父母被归为一个群体而非个人，孩子属于父系或母系群体，以尽可能地属于其祖先。最后，它们还能在由第三方或祭祀者被调解的关系中寻觅到，例如在印度教徒中，婆罗门所收的礼物，由神灵自己或祖先的灵魂所归还。</w:t>
      </w:r>
    </w:p>
    <w:p w14:paraId="6528F124" w14:textId="77777777" w:rsidR="00A60D8D" w:rsidRPr="00CE553C" w:rsidRDefault="009F1216" w:rsidP="00CE553C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CE553C">
        <w:rPr>
          <w:rFonts w:ascii="Songti TC" w:eastAsia="Songti TC" w:hAnsi="Songti TC" w:cs="Times New Roman"/>
          <w:lang w:eastAsia="zh-CN"/>
        </w:rPr>
        <w:t>家庭关系的三元象征意义，甚至可以在神性关系中找到，在希腊神话中，克洛诺斯和宙斯之间的关系，被一块襁褓中的石头所取代；而在希伯来世界中，上帝和以撒之间的关系，则被一只羔羊所取代，这是关系之三角革命的前身。</w:t>
      </w:r>
    </w:p>
    <w:p w14:paraId="6EB7EE75" w14:textId="77777777" w:rsidR="00A60D8D" w:rsidRPr="00CE553C" w:rsidRDefault="009F1216" w:rsidP="00CE553C">
      <w:pPr>
        <w:spacing w:before="120" w:after="120"/>
        <w:ind w:firstLine="488"/>
        <w:jc w:val="both"/>
        <w:rPr>
          <w:rFonts w:ascii="Songti TC" w:eastAsia="Songti TC" w:hAnsi="Songti TC" w:cs="Times New Roman"/>
          <w:b/>
          <w:bCs/>
          <w:i/>
          <w:iCs/>
          <w:lang w:val="en-US" w:eastAsia="zh-CN"/>
        </w:rPr>
      </w:pPr>
      <w:r w:rsidRPr="00CE553C">
        <w:rPr>
          <w:rFonts w:ascii="Songti TC" w:eastAsia="Songti TC" w:hAnsi="Songti TC" w:cs="Times New Roman"/>
          <w:b/>
          <w:bCs/>
          <w:i/>
          <w:iCs/>
          <w:lang w:eastAsia="zh-CN"/>
        </w:rPr>
        <w:t>*在“社会”的视野中进行交互：“社会”（Gesellshaft）</w:t>
      </w:r>
    </w:p>
    <w:p w14:paraId="2143EC6D" w14:textId="77777777" w:rsidR="00A60D8D" w:rsidRPr="00CE553C" w:rsidRDefault="009F1216" w:rsidP="00CE553C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CE553C">
        <w:rPr>
          <w:rFonts w:ascii="Songti TC" w:eastAsia="Songti TC" w:hAnsi="Songti TC" w:cs="Times New Roman"/>
          <w:lang w:eastAsia="zh-CN"/>
        </w:rPr>
        <w:t>正是在基督教之中，</w:t>
      </w:r>
      <w:r w:rsidRPr="00CE553C">
        <w:rPr>
          <w:rFonts w:ascii="Songti TC" w:eastAsia="Songti TC" w:hAnsi="Songti TC" w:cs="Times New Roman"/>
          <w:i/>
          <w:iCs/>
          <w:lang w:eastAsia="zh-CN"/>
        </w:rPr>
        <w:t>“核心家庭”</w:t>
      </w:r>
      <w:r w:rsidRPr="00CE553C">
        <w:rPr>
          <w:rFonts w:ascii="Songti TC" w:eastAsia="Songti TC" w:hAnsi="Songti TC" w:cs="Times New Roman"/>
          <w:lang w:eastAsia="zh-CN"/>
        </w:rPr>
        <w:t>出现了，它由父亲（丈夫）、妻子（夫人）和他们的孩子（原则上是亲生的......）组成，并且总是通过公开和/或神圣的话语，在仪式上得以创建，取代了列维·斯特劳斯所强调的</w:t>
      </w:r>
      <w:r w:rsidRPr="00CE553C">
        <w:rPr>
          <w:rFonts w:ascii="Songti TC" w:eastAsia="Songti TC" w:hAnsi="Songti TC" w:cs="Times New Roman"/>
          <w:i/>
          <w:iCs/>
          <w:lang w:eastAsia="zh-CN"/>
        </w:rPr>
        <w:t>“亲属关系原子”</w:t>
      </w:r>
      <w:r w:rsidRPr="00CE553C">
        <w:rPr>
          <w:rFonts w:ascii="Songti TC" w:eastAsia="Songti TC" w:hAnsi="Songti TC" w:cs="Times New Roman"/>
          <w:lang w:eastAsia="zh-CN"/>
        </w:rPr>
        <w:t>（kinship atom）。洗礼象征着这种转变，在那个人可以作为一个自我、造物和上帝的“子嗣”存在。正是在18世纪，欧洲巩固了“自由”公民的地位，减少了对群体的依赖，而这一切（带来了）相当可观的影响：人们将更可能从竞争同平等的意义上来思考，而非从互惠、纽带和公</w:t>
      </w:r>
      <w:r w:rsidRPr="00CE553C">
        <w:rPr>
          <w:rFonts w:ascii="Songti TC" w:eastAsia="Songti TC" w:hAnsi="Songti TC" w:cs="Times New Roman"/>
          <w:lang w:eastAsia="zh-CN"/>
        </w:rPr>
        <w:lastRenderedPageBreak/>
        <w:t>正（fairness）的意义上来思考；这里不再强制要求回报曾经得到的东西；一份礼物甚至可以被视为是消极的.....作为一种债务或低等的烙印。</w:t>
      </w:r>
    </w:p>
    <w:p w14:paraId="45D1D70E" w14:textId="77777777" w:rsidR="00A60D8D" w:rsidRPr="00CE553C" w:rsidRDefault="009F1216" w:rsidP="00CE553C">
      <w:pPr>
        <w:spacing w:before="120" w:after="120"/>
        <w:ind w:firstLine="488"/>
        <w:jc w:val="both"/>
        <w:rPr>
          <w:rFonts w:ascii="Songti TC" w:eastAsia="Songti TC" w:hAnsi="Songti TC" w:cs="Times New Roman"/>
          <w:i/>
          <w:iCs/>
          <w:lang w:val="en-US" w:eastAsia="zh-CN"/>
        </w:rPr>
      </w:pPr>
      <w:r w:rsidRPr="00CE553C">
        <w:rPr>
          <w:rFonts w:ascii="Songti TC" w:eastAsia="Songti TC" w:hAnsi="Songti TC" w:cs="Times New Roman"/>
          <w:lang w:eastAsia="zh-CN"/>
        </w:rPr>
        <w:t>这便是托克维尔（A. de Tocqueville）所观察到的</w:t>
      </w:r>
      <w:r w:rsidRPr="00CE553C">
        <w:rPr>
          <w:rFonts w:ascii="Songti TC" w:eastAsia="Songti TC" w:hAnsi="Songti TC" w:cs="Times New Roman"/>
          <w:i/>
          <w:iCs/>
          <w:lang w:eastAsia="zh-CN"/>
        </w:rPr>
        <w:t>：“个人主义是一种只顾自己而又心安理得的情感，它使每个公民同其同胞大众隔离，同亲属和朋友疏远。因此，当每个公民各自建立了自己的小社会后，他们就不管大社会而任其自行发展了..."。</w:t>
      </w:r>
      <w:r w:rsidRPr="00CE553C">
        <w:rPr>
          <w:rFonts w:ascii="Songti TC" w:eastAsia="Songti TC" w:hAnsi="Songti TC" w:cs="Times New Roman"/>
          <w:lang w:eastAsia="zh-CN"/>
        </w:rPr>
        <w:t>新自由主义经济学，则进一步强调个人在任何企业中的责任，即使是对公共物品的构成，也有一些令人愉悦的微妙之处：</w:t>
      </w:r>
      <w:r w:rsidRPr="00CE553C">
        <w:rPr>
          <w:rFonts w:ascii="Songti TC" w:eastAsia="Songti TC" w:hAnsi="Songti TC" w:cs="Times New Roman"/>
          <w:i/>
          <w:iCs/>
          <w:lang w:eastAsia="zh-CN"/>
        </w:rPr>
        <w:t>“在法国，凡是创办新的事业，都由政府出面；在英国，则由当地的权贵带头；在美国，你会看到人们一定组织社团。”</w:t>
      </w:r>
    </w:p>
    <w:p w14:paraId="1E341C8A" w14:textId="77777777" w:rsidR="00A60D8D" w:rsidRPr="00CE553C" w:rsidRDefault="009F1216" w:rsidP="00CE553C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CE553C">
        <w:rPr>
          <w:rFonts w:ascii="Songti TC" w:eastAsia="Songti TC" w:hAnsi="Songti TC" w:cs="Times New Roman"/>
          <w:lang w:eastAsia="zh-CN"/>
        </w:rPr>
        <w:t>这种个人主义，显而易见地与经济增长的理念化相关，并要求接受日益增长的社会不平等，且反对平等主义价值观。这也反映了互惠的三角关系、宗教信仰和家族人际关系网之削弱。</w:t>
      </w:r>
    </w:p>
    <w:p w14:paraId="5037958D" w14:textId="77777777" w:rsidR="00A60D8D" w:rsidRPr="00CE553C" w:rsidRDefault="009F1216" w:rsidP="00CE553C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CE553C">
        <w:rPr>
          <w:rFonts w:ascii="Songti TC" w:eastAsia="Songti TC" w:hAnsi="Songti TC" w:cs="Times New Roman"/>
          <w:lang w:eastAsia="zh-CN"/>
        </w:rPr>
        <w:t>将“relationship”翻译成“关系”（关系网），将是对这种演变的证实，至少在职业关系网中，一旦出现任何机会，合作伙伴之间的优待，就可以借助互惠的交互来构建。不过，此处我们应强调欧洲公司内部关系的特殊性：譬如，建立一个更大的关系网，将会是一个更为关键的目标，而非是为创造某一个人的“事业”，如果关系网（的建立），是以牺牲团体或社群的利益，来为个人谋利，那便是不道德的。</w:t>
      </w:r>
    </w:p>
    <w:p w14:paraId="7F711DA2" w14:textId="77777777" w:rsidR="00A60D8D" w:rsidRPr="00CE553C" w:rsidRDefault="009F1216" w:rsidP="00CE553C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 w:eastAsia="zh-CN"/>
        </w:rPr>
      </w:pPr>
      <w:r w:rsidRPr="00CE553C">
        <w:rPr>
          <w:rFonts w:ascii="Songti TC" w:eastAsia="Songti TC" w:hAnsi="Songti TC" w:cs="Times New Roman"/>
          <w:lang w:eastAsia="zh-CN"/>
        </w:rPr>
        <w:t>职业关系网，从某种意义上而言，将填补传统大家庭关系网的衰退所留下的空白，进而有利于都市的核心家庭。</w:t>
      </w:r>
    </w:p>
    <w:p w14:paraId="318AC0C5" w14:textId="77777777" w:rsidR="00A60D8D" w:rsidRPr="00CE553C" w:rsidRDefault="009F1216" w:rsidP="00CE553C">
      <w:pPr>
        <w:spacing w:before="120" w:after="120"/>
        <w:ind w:firstLine="488"/>
        <w:jc w:val="center"/>
        <w:rPr>
          <w:rFonts w:ascii="Songti TC" w:eastAsia="Songti TC" w:hAnsi="Songti TC" w:cs="Times New Roman"/>
          <w:lang w:val="en-US" w:eastAsia="zh-CN"/>
        </w:rPr>
      </w:pPr>
      <w:r w:rsidRPr="00CE553C">
        <w:rPr>
          <w:rFonts w:ascii="Songti TC" w:eastAsia="Songti TC" w:hAnsi="Songti TC" w:cs="Times New Roman"/>
          <w:lang w:eastAsia="zh-CN"/>
        </w:rPr>
        <w:t>*.     *.     *</w:t>
      </w:r>
    </w:p>
    <w:p w14:paraId="33121537" w14:textId="77777777" w:rsidR="00A60D8D" w:rsidRPr="00CE553C" w:rsidRDefault="009F1216" w:rsidP="00CE553C">
      <w:pPr>
        <w:spacing w:before="120" w:after="120"/>
        <w:ind w:firstLine="488"/>
        <w:jc w:val="both"/>
        <w:rPr>
          <w:rFonts w:ascii="Songti TC" w:eastAsia="Songti TC" w:hAnsi="Songti TC" w:cs="Times New Roman"/>
          <w:i/>
          <w:iCs/>
          <w:lang w:val="en-US" w:eastAsia="zh-CN"/>
        </w:rPr>
      </w:pPr>
      <w:r w:rsidRPr="00CE553C">
        <w:rPr>
          <w:rFonts w:ascii="Songti TC" w:eastAsia="Songti TC" w:hAnsi="Songti TC" w:cs="Times New Roman"/>
          <w:lang w:eastAsia="zh-CN"/>
        </w:rPr>
        <w:t>在拉丁文中的</w:t>
      </w:r>
      <w:r w:rsidRPr="00CE553C">
        <w:rPr>
          <w:rFonts w:ascii="Songti TC" w:eastAsia="Songti TC" w:hAnsi="Songti TC" w:cs="Times New Roman"/>
          <w:i/>
          <w:iCs/>
          <w:lang w:eastAsia="zh-CN"/>
        </w:rPr>
        <w:t>人</w:t>
      </w:r>
      <w:r w:rsidRPr="00CE553C">
        <w:rPr>
          <w:rFonts w:ascii="Songti TC" w:eastAsia="Songti TC" w:hAnsi="Songti TC" w:cs="Times New Roman"/>
          <w:lang w:eastAsia="zh-CN"/>
        </w:rPr>
        <w:t>（homo），英语中的</w:t>
      </w:r>
      <w:r w:rsidRPr="00CE553C">
        <w:rPr>
          <w:rFonts w:ascii="Songti TC" w:eastAsia="Songti TC" w:hAnsi="Songti TC" w:cs="Times New Roman"/>
          <w:i/>
          <w:iCs/>
          <w:lang w:eastAsia="zh-CN"/>
        </w:rPr>
        <w:t>人</w:t>
      </w:r>
      <w:r w:rsidRPr="00CE553C">
        <w:rPr>
          <w:rFonts w:ascii="Songti TC" w:eastAsia="Songti TC" w:hAnsi="Songti TC" w:cs="Times New Roman"/>
          <w:lang w:eastAsia="zh-CN"/>
        </w:rPr>
        <w:t>（man）及德语中的</w:t>
      </w:r>
      <w:r w:rsidRPr="00CE553C">
        <w:rPr>
          <w:rFonts w:ascii="Songti TC" w:eastAsia="Songti TC" w:hAnsi="Songti TC" w:cs="Times New Roman"/>
          <w:i/>
          <w:iCs/>
          <w:lang w:eastAsia="zh-CN"/>
        </w:rPr>
        <w:t>人</w:t>
      </w:r>
      <w:r w:rsidRPr="00CE553C">
        <w:rPr>
          <w:rFonts w:ascii="Songti TC" w:eastAsia="Songti TC" w:hAnsi="Songti TC" w:cs="Times New Roman"/>
          <w:lang w:eastAsia="zh-CN"/>
        </w:rPr>
        <w:t>（Mensch） ，法语中的</w:t>
      </w:r>
      <w:r w:rsidRPr="00CE553C">
        <w:rPr>
          <w:rFonts w:ascii="Songti TC" w:eastAsia="Songti TC" w:hAnsi="Songti TC" w:cs="Times New Roman"/>
          <w:i/>
          <w:iCs/>
          <w:lang w:eastAsia="zh-CN"/>
        </w:rPr>
        <w:t>精神的，内心的</w:t>
      </w:r>
      <w:r w:rsidRPr="00CE553C">
        <w:rPr>
          <w:rFonts w:ascii="Songti TC" w:eastAsia="Songti TC" w:hAnsi="Songti TC" w:cs="Times New Roman"/>
          <w:lang w:eastAsia="zh-CN"/>
        </w:rPr>
        <w:t xml:space="preserve">（mental），我们发现印欧语系的词根 </w:t>
      </w:r>
      <w:r w:rsidRPr="00CE553C">
        <w:rPr>
          <w:rFonts w:ascii="Songti TC" w:eastAsia="Songti TC" w:hAnsi="Songti TC" w:cs="Times New Roman"/>
          <w:i/>
          <w:iCs/>
          <w:lang w:eastAsia="zh-CN"/>
        </w:rPr>
        <w:t>men</w:t>
      </w:r>
      <w:r w:rsidRPr="00CE553C">
        <w:rPr>
          <w:rFonts w:ascii="Songti TC" w:eastAsia="Songti TC" w:hAnsi="Songti TC" w:cs="Times New Roman"/>
          <w:lang w:eastAsia="zh-CN"/>
        </w:rPr>
        <w:t>，也与希伯来语中的</w:t>
      </w:r>
      <w:r w:rsidRPr="00CE553C">
        <w:rPr>
          <w:rFonts w:ascii="Songti TC" w:eastAsia="Songti TC" w:hAnsi="Songti TC" w:cs="Times New Roman"/>
          <w:i/>
          <w:iCs/>
          <w:lang w:eastAsia="zh-CN"/>
        </w:rPr>
        <w:t>地表</w:t>
      </w:r>
      <w:r w:rsidRPr="00CE553C">
        <w:rPr>
          <w:rFonts w:ascii="Songti TC" w:eastAsia="Songti TC" w:hAnsi="Songti TC" w:cs="Times New Roman"/>
          <w:lang w:eastAsia="zh-CN"/>
        </w:rPr>
        <w:t>（humus），也即大地相关。</w:t>
      </w:r>
    </w:p>
    <w:p w14:paraId="316EBC67" w14:textId="1DA50F95" w:rsidR="0016380B" w:rsidRPr="00CE553C" w:rsidRDefault="009F1216" w:rsidP="00CE553C">
      <w:pPr>
        <w:spacing w:before="120" w:after="120"/>
        <w:ind w:firstLine="488"/>
        <w:jc w:val="both"/>
        <w:rPr>
          <w:rFonts w:ascii="Songti TC" w:eastAsia="Songti TC" w:hAnsi="Songti TC" w:cs="Times New Roman"/>
          <w:i/>
          <w:iCs/>
          <w:lang w:val="en-US" w:eastAsia="zh-CN"/>
        </w:rPr>
      </w:pPr>
      <w:r w:rsidRPr="00CE553C">
        <w:rPr>
          <w:rFonts w:ascii="Songti TC" w:eastAsia="Songti TC" w:hAnsi="Songti TC" w:cs="Times New Roman"/>
          <w:lang w:eastAsia="zh-CN"/>
        </w:rPr>
        <w:t>如果人故此被视作被赋予了尘世与精神的天性，那么他便从属于一种特定的文化，在这之中，“人”是由持久的、互惠的关系编织而成的，或是在最低限度的外部限制中，保持选择他自身关系的自由，毋论是法律要求的，抑或是共识下的伦理与道德。</w:t>
      </w:r>
    </w:p>
    <w:sectPr w:rsidR="0016380B" w:rsidRPr="00CE553C" w:rsidSect="00CE553C">
      <w:headerReference w:type="even" r:id="rId6"/>
      <w:pgSz w:w="11900" w:h="16840"/>
      <w:pgMar w:top="1418" w:right="1418" w:bottom="1418" w:left="1418" w:header="567" w:footer="567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4860" w14:textId="77777777" w:rsidR="008333A0" w:rsidRDefault="008333A0">
      <w:r>
        <w:separator/>
      </w:r>
    </w:p>
  </w:endnote>
  <w:endnote w:type="continuationSeparator" w:id="0">
    <w:p w14:paraId="10E37310" w14:textId="77777777" w:rsidR="008333A0" w:rsidRDefault="0083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AE57" w14:textId="77777777" w:rsidR="008333A0" w:rsidRDefault="008333A0" w:rsidP="00A60D8D">
      <w:r>
        <w:separator/>
      </w:r>
    </w:p>
  </w:footnote>
  <w:footnote w:type="continuationSeparator" w:id="0">
    <w:p w14:paraId="291567DB" w14:textId="77777777" w:rsidR="008333A0" w:rsidRDefault="008333A0" w:rsidP="00A60D8D">
      <w:r>
        <w:continuationSeparator/>
      </w:r>
    </w:p>
  </w:footnote>
  <w:footnote w:id="1">
    <w:p w14:paraId="13F2E1CF" w14:textId="77777777" w:rsidR="00A60D8D" w:rsidRPr="00B350EB" w:rsidRDefault="009F1216" w:rsidP="00A60D8D">
      <w:pPr>
        <w:pStyle w:val="Funotentext"/>
        <w:jc w:val="both"/>
        <w:rPr>
          <w:rFonts w:ascii="Microsoft YaHei" w:eastAsia="Microsoft YaHei" w:hAnsi="Microsoft YaHei" w:cs="Times New Roman"/>
          <w:sz w:val="18"/>
          <w:szCs w:val="18"/>
          <w:lang w:val="en-US" w:eastAsia="zh-CN"/>
        </w:rPr>
      </w:pPr>
      <w:r w:rsidRPr="00B350EB">
        <w:rPr>
          <w:rStyle w:val="Funotenzeichen"/>
          <w:rFonts w:ascii="Microsoft YaHei" w:eastAsia="Microsoft YaHei" w:hAnsi="Microsoft YaHei" w:cs="Times New Roman"/>
          <w:sz w:val="18"/>
          <w:szCs w:val="18"/>
        </w:rPr>
        <w:footnoteRef/>
      </w:r>
      <w:r w:rsidRPr="00B350EB">
        <w:rPr>
          <w:rFonts w:ascii="Microsoft YaHei" w:eastAsia="Microsoft YaHei" w:hAnsi="Microsoft YaHei" w:cs="SimSun"/>
          <w:sz w:val="18"/>
          <w:szCs w:val="18"/>
          <w:lang w:eastAsia="zh-CN"/>
        </w:rPr>
        <w:t>概念（转喻（metonymy））间的关系，整体（象征的）和部分（提喻（synecdote)））间的关系，数学或物理意义上之等效间的关系（物质与能量之间，以光为中介，....），已证实的事实（历史或偶然）间的非关系。以及动词</w:t>
      </w:r>
      <w:r w:rsidRPr="00B350EB">
        <w:rPr>
          <w:rFonts w:ascii="Microsoft YaHei" w:eastAsia="Microsoft YaHei" w:hAnsi="Microsoft YaHei" w:cs="SimSun"/>
          <w:i/>
          <w:iCs/>
          <w:sz w:val="18"/>
          <w:szCs w:val="18"/>
          <w:lang w:eastAsia="zh-CN"/>
        </w:rPr>
        <w:t>“去讲述”</w:t>
      </w:r>
      <w:r w:rsidRPr="00B350EB">
        <w:rPr>
          <w:rFonts w:ascii="Microsoft YaHei" w:eastAsia="Microsoft YaHei" w:hAnsi="Microsoft YaHei" w:cs="SimSun"/>
          <w:sz w:val="18"/>
          <w:szCs w:val="18"/>
          <w:lang w:eastAsia="zh-CN"/>
        </w:rPr>
        <w:t>，它讲了一个故事，回顾了一些重大事件，这些事件承载着一种在身份基础之上的“真实”。</w:t>
      </w:r>
    </w:p>
  </w:footnote>
  <w:footnote w:id="2">
    <w:p w14:paraId="67CD767F" w14:textId="77777777" w:rsidR="00A60D8D" w:rsidRPr="00F77A29" w:rsidRDefault="009F1216" w:rsidP="00A60D8D">
      <w:pPr>
        <w:pStyle w:val="Funotentext"/>
        <w:jc w:val="both"/>
        <w:rPr>
          <w:rFonts w:ascii="Microsoft YaHei" w:eastAsia="Microsoft YaHei" w:hAnsi="Microsoft YaHei" w:cs="Times New Roman"/>
          <w:sz w:val="18"/>
          <w:szCs w:val="18"/>
          <w:lang w:val="en-US" w:eastAsia="zh-CN"/>
        </w:rPr>
      </w:pPr>
      <w:r w:rsidRPr="00F77A29">
        <w:rPr>
          <w:rStyle w:val="Funotenzeichen"/>
          <w:rFonts w:ascii="Microsoft YaHei" w:eastAsia="Microsoft YaHei" w:hAnsi="Microsoft YaHei" w:cs="Times New Roman"/>
          <w:sz w:val="18"/>
          <w:szCs w:val="18"/>
        </w:rPr>
        <w:footnoteRef/>
      </w:r>
      <w:r w:rsidRPr="00F77A29">
        <w:rPr>
          <w:rFonts w:ascii="Microsoft YaHei" w:eastAsia="Microsoft YaHei" w:hAnsi="Microsoft YaHei" w:cs="SimSun"/>
          <w:sz w:val="18"/>
          <w:szCs w:val="18"/>
          <w:lang w:eastAsia="zh-CN"/>
        </w:rPr>
        <w:t>A. 珂雅芙（Kojeve）提出了四种基本的权威关系：主人对奴仆或奴隶的关系，军事领导人或教师对弟子（pupil）的关系，法官对请愿者的关系，以及父亲或父母，对孩子的关系。</w:t>
      </w:r>
    </w:p>
  </w:footnote>
  <w:footnote w:id="3">
    <w:p w14:paraId="5047DE19" w14:textId="77777777" w:rsidR="00A60D8D" w:rsidRPr="00D77183" w:rsidRDefault="009F1216" w:rsidP="00A60D8D">
      <w:pPr>
        <w:pStyle w:val="Funotentext"/>
        <w:jc w:val="both"/>
        <w:rPr>
          <w:rFonts w:ascii="Microsoft YaHei" w:eastAsia="Microsoft YaHei" w:hAnsi="Microsoft YaHei" w:cs="Times New Roman"/>
          <w:sz w:val="18"/>
          <w:szCs w:val="18"/>
          <w:lang w:val="en-US" w:eastAsia="zh-CN"/>
        </w:rPr>
      </w:pPr>
      <w:r w:rsidRPr="00D77183">
        <w:rPr>
          <w:rStyle w:val="Funotenzeichen"/>
          <w:rFonts w:ascii="Microsoft YaHei" w:eastAsia="Microsoft YaHei" w:hAnsi="Microsoft YaHei" w:cs="Times New Roman"/>
          <w:sz w:val="18"/>
          <w:szCs w:val="18"/>
        </w:rPr>
        <w:footnoteRef/>
      </w:r>
      <w:r w:rsidRPr="00D77183">
        <w:rPr>
          <w:rFonts w:ascii="Microsoft YaHei" w:eastAsia="Microsoft YaHei" w:hAnsi="Microsoft YaHei" w:cs="SimSun"/>
          <w:sz w:val="18"/>
          <w:szCs w:val="18"/>
          <w:lang w:eastAsia="zh-CN"/>
        </w:rPr>
        <w:t>这种交换可以在家族的内部进行，以保护它的统一性：例如，在贝迪克人（Bedik）中，两兄弟在将女儿嫁给其妻子的亲戚之前，必须交换他们双方的女儿。</w:t>
      </w:r>
    </w:p>
  </w:footnote>
  <w:footnote w:id="4">
    <w:p w14:paraId="70203780" w14:textId="77777777" w:rsidR="00A60D8D" w:rsidRPr="00D77183" w:rsidRDefault="009F1216" w:rsidP="00A60D8D">
      <w:pPr>
        <w:pStyle w:val="Funotentext"/>
        <w:jc w:val="both"/>
        <w:rPr>
          <w:rFonts w:ascii="Microsoft YaHei" w:eastAsia="Microsoft YaHei" w:hAnsi="Microsoft YaHei" w:cs="Times New Roman"/>
          <w:sz w:val="18"/>
          <w:szCs w:val="18"/>
          <w:lang w:val="en-US" w:eastAsia="zh-CN"/>
        </w:rPr>
      </w:pPr>
      <w:r w:rsidRPr="00D77183">
        <w:rPr>
          <w:rStyle w:val="Funotenzeichen"/>
          <w:rFonts w:ascii="Microsoft YaHei" w:eastAsia="Microsoft YaHei" w:hAnsi="Microsoft YaHei" w:cs="Times New Roman"/>
          <w:sz w:val="18"/>
          <w:szCs w:val="18"/>
        </w:rPr>
        <w:footnoteRef/>
      </w:r>
      <w:r w:rsidRPr="00D77183">
        <w:rPr>
          <w:rFonts w:ascii="Microsoft YaHei" w:eastAsia="Microsoft YaHei" w:hAnsi="Microsoft YaHei" w:cs="SimSun"/>
          <w:sz w:val="18"/>
          <w:szCs w:val="18"/>
          <w:lang w:eastAsia="zh-CN"/>
        </w:rPr>
        <w:t>母亲的“姐妹”是“母亲”，父亲的“兄弟”是“父亲”（patruus）（年长或年轻于他们），一般与母系一方的叔舅（avunculus）相对；“表兄弟”则是年长或年幼的“兄弟”。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671209882"/>
      <w:docPartObj>
        <w:docPartGallery w:val="Page Numbers (Top of Page)"/>
        <w:docPartUnique/>
      </w:docPartObj>
    </w:sdtPr>
    <w:sdtContent>
      <w:p w14:paraId="3499F840" w14:textId="77777777" w:rsidR="00D63057" w:rsidRDefault="009F1216" w:rsidP="001F058F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1D577A2" w14:textId="77777777" w:rsidR="00D63057" w:rsidRDefault="00D63057" w:rsidP="00D63057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D8D"/>
    <w:rsid w:val="00123CCD"/>
    <w:rsid w:val="0016380B"/>
    <w:rsid w:val="001829FD"/>
    <w:rsid w:val="001A0603"/>
    <w:rsid w:val="001E78AA"/>
    <w:rsid w:val="001F058F"/>
    <w:rsid w:val="002D02C7"/>
    <w:rsid w:val="00522780"/>
    <w:rsid w:val="005A6982"/>
    <w:rsid w:val="006B4E66"/>
    <w:rsid w:val="0076252D"/>
    <w:rsid w:val="008333A0"/>
    <w:rsid w:val="008B4AAA"/>
    <w:rsid w:val="008F42CC"/>
    <w:rsid w:val="00955223"/>
    <w:rsid w:val="009F1216"/>
    <w:rsid w:val="009F447E"/>
    <w:rsid w:val="00A242A4"/>
    <w:rsid w:val="00A60D8D"/>
    <w:rsid w:val="00B350EB"/>
    <w:rsid w:val="00B96CFF"/>
    <w:rsid w:val="00BA3B40"/>
    <w:rsid w:val="00C6006E"/>
    <w:rsid w:val="00CE553C"/>
    <w:rsid w:val="00D63057"/>
    <w:rsid w:val="00D77183"/>
    <w:rsid w:val="00D82B1E"/>
    <w:rsid w:val="00DF7EBE"/>
    <w:rsid w:val="00E01730"/>
    <w:rsid w:val="00E26119"/>
    <w:rsid w:val="00F7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C2FF"/>
  <w15:docId w15:val="{E19FAEB1-8353-294B-92B0-ED36A9D4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0D8D"/>
    <w:rPr>
      <w:rFonts w:eastAsiaTheme="minorHAnsi"/>
      <w:lang w:val="fr-F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0D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0D8D"/>
    <w:rPr>
      <w:rFonts w:eastAsiaTheme="minorHAnsi"/>
      <w:lang w:val="fr-FR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A60D8D"/>
  </w:style>
  <w:style w:type="paragraph" w:styleId="Funotentext">
    <w:name w:val="footnote text"/>
    <w:basedOn w:val="Standard"/>
    <w:link w:val="FunotentextZchn"/>
    <w:uiPriority w:val="99"/>
    <w:semiHidden/>
    <w:unhideWhenUsed/>
    <w:rsid w:val="00A60D8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60D8D"/>
    <w:rPr>
      <w:rFonts w:eastAsiaTheme="minorHAnsi"/>
      <w:sz w:val="20"/>
      <w:szCs w:val="20"/>
      <w:lang w:val="fr-FR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A60D8D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A60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Liu</dc:creator>
  <cp:lastModifiedBy>Liu Runyao</cp:lastModifiedBy>
  <cp:revision>44</cp:revision>
  <dcterms:created xsi:type="dcterms:W3CDTF">2022-04-25T16:56:00Z</dcterms:created>
  <dcterms:modified xsi:type="dcterms:W3CDTF">2022-08-21T15:12:00Z</dcterms:modified>
</cp:coreProperties>
</file>