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95680" w14:textId="14ABD5CF" w:rsidR="00082685" w:rsidRPr="008E4626" w:rsidRDefault="008D3835" w:rsidP="00082685">
      <w:pPr>
        <w:shd w:val="clear" w:color="auto" w:fill="FFFFFF"/>
        <w:spacing w:before="120" w:after="120"/>
        <w:jc w:val="center"/>
        <w:outlineLvl w:val="1"/>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color w:val="000000" w:themeColor="text1"/>
          <w:sz w:val="32"/>
          <w:szCs w:val="32"/>
          <w:lang w:eastAsia="en-GB"/>
        </w:rPr>
        <w:t>e</w:t>
      </w:r>
      <w:r w:rsidR="00082685" w:rsidRPr="00082685">
        <w:rPr>
          <w:rFonts w:ascii="Times New Roman" w:eastAsia="Times New Roman" w:hAnsi="Times New Roman" w:cs="Times New Roman"/>
          <w:b/>
          <w:bCs/>
          <w:color w:val="000000" w:themeColor="text1"/>
          <w:sz w:val="32"/>
          <w:szCs w:val="32"/>
          <w:lang w:eastAsia="en-GB"/>
        </w:rPr>
        <w:t xml:space="preserve">quality </w:t>
      </w:r>
      <w:r w:rsidR="00082685" w:rsidRPr="008E4626">
        <w:rPr>
          <w:rFonts w:ascii="Times New Roman" w:eastAsia="Times New Roman" w:hAnsi="Times New Roman" w:cs="Times New Roman"/>
          <w:b/>
          <w:bCs/>
          <w:color w:val="000000" w:themeColor="text1"/>
          <w:sz w:val="32"/>
          <w:szCs w:val="32"/>
          <w:lang w:eastAsia="en-GB"/>
        </w:rPr>
        <w:t>/</w:t>
      </w:r>
      <w:r w:rsidR="00082685">
        <w:rPr>
          <w:rFonts w:ascii="SimSun" w:eastAsia="SimSun" w:hAnsi="SimSun" w:cs="SimSun" w:hint="eastAsia"/>
          <w:b/>
          <w:bCs/>
          <w:color w:val="000000" w:themeColor="text1"/>
          <w:sz w:val="32"/>
          <w:szCs w:val="32"/>
        </w:rPr>
        <w:t>平等</w:t>
      </w:r>
      <w:r w:rsidR="00082685" w:rsidRPr="008E4626">
        <w:rPr>
          <w:rFonts w:ascii="Times New Roman" w:hAnsi="Times New Roman" w:cs="Times New Roman"/>
          <w:b/>
          <w:bCs/>
          <w:color w:val="000000" w:themeColor="text1"/>
          <w:sz w:val="32"/>
          <w:szCs w:val="32"/>
        </w:rPr>
        <w:t>(</w:t>
      </w:r>
      <w:r w:rsidR="00082685" w:rsidRPr="00082685">
        <w:rPr>
          <w:rFonts w:ascii="Times New Roman" w:hAnsi="Times New Roman" w:cs="Times New Roman"/>
          <w:b/>
          <w:bCs/>
          <w:color w:val="000000" w:themeColor="text1"/>
          <w:sz w:val="32"/>
          <w:szCs w:val="32"/>
        </w:rPr>
        <w:t>Píng Děng</w:t>
      </w:r>
      <w:r w:rsidR="00082685" w:rsidRPr="008E4626">
        <w:rPr>
          <w:rFonts w:ascii="Times New Roman" w:hAnsi="Times New Roman" w:cs="Times New Roman"/>
          <w:b/>
          <w:bCs/>
          <w:color w:val="000000" w:themeColor="text1"/>
          <w:sz w:val="32"/>
          <w:szCs w:val="32"/>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82685" w14:paraId="7C35B533" w14:textId="77777777" w:rsidTr="00AA01EA">
        <w:trPr>
          <w:jc w:val="center"/>
        </w:trPr>
        <w:tc>
          <w:tcPr>
            <w:tcW w:w="3020" w:type="dxa"/>
          </w:tcPr>
          <w:p w14:paraId="0E2847B1" w14:textId="71067002" w:rsidR="00082685" w:rsidRPr="00ED4DE0" w:rsidRDefault="00082685" w:rsidP="00AA01EA">
            <w:pPr>
              <w:jc w:val="center"/>
              <w:rPr>
                <w:rFonts w:ascii="Times New Roman" w:hAnsi="Times New Roman" w:cs="Times New Roman"/>
              </w:rPr>
            </w:pPr>
            <w:bookmarkStart w:id="0" w:name="OLE_LINK7"/>
            <w:bookmarkStart w:id="1" w:name="OLE_LINK8"/>
            <w:bookmarkStart w:id="2" w:name="OLE_LINK9"/>
            <w:r>
              <w:rPr>
                <w:rFonts w:ascii="Times New Roman" w:hAnsi="Times New Roman" w:cs="Times New Roman"/>
              </w:rPr>
              <w:t>European</w:t>
            </w:r>
            <w:r w:rsidRPr="001E0C0B">
              <w:rPr>
                <w:rFonts w:ascii="Times New Roman" w:hAnsi="Times New Roman" w:cs="Times New Roman"/>
              </w:rPr>
              <w:t xml:space="preserve"> Perspective</w:t>
            </w:r>
          </w:p>
        </w:tc>
        <w:tc>
          <w:tcPr>
            <w:tcW w:w="3021" w:type="dxa"/>
          </w:tcPr>
          <w:p w14:paraId="3A531274" w14:textId="699B1283" w:rsidR="00082685" w:rsidRPr="00ED4DE0" w:rsidRDefault="00082685" w:rsidP="00AA01EA">
            <w:pPr>
              <w:jc w:val="center"/>
              <w:rPr>
                <w:rFonts w:ascii="Times New Roman" w:hAnsi="Times New Roman" w:cs="Times New Roman"/>
              </w:rPr>
            </w:pPr>
            <w:r w:rsidRPr="00082685">
              <w:rPr>
                <w:rFonts w:ascii="Times New Roman" w:hAnsi="Times New Roman" w:cs="Times New Roman"/>
              </w:rPr>
              <w:t>Prof. Thomas GERGEN</w:t>
            </w:r>
          </w:p>
        </w:tc>
        <w:tc>
          <w:tcPr>
            <w:tcW w:w="3021" w:type="dxa"/>
          </w:tcPr>
          <w:p w14:paraId="1FF7B05D" w14:textId="73FFB037" w:rsidR="00082685" w:rsidRPr="00ED4DE0" w:rsidRDefault="008713EC" w:rsidP="00AA01EA">
            <w:pPr>
              <w:jc w:val="center"/>
              <w:rPr>
                <w:rFonts w:ascii="Times New Roman" w:hAnsi="Times New Roman" w:cs="Times New Roman"/>
              </w:rPr>
            </w:pPr>
            <w:r>
              <w:rPr>
                <w:rFonts w:ascii="Times New Roman" w:hAnsi="Times New Roman" w:cs="Times New Roman"/>
              </w:rPr>
              <w:t>17</w:t>
            </w:r>
            <w:r w:rsidR="00082685">
              <w:rPr>
                <w:rFonts w:ascii="Times New Roman" w:hAnsi="Times New Roman" w:cs="Times New Roman"/>
              </w:rPr>
              <w:t xml:space="preserve"> </w:t>
            </w:r>
            <w:r>
              <w:rPr>
                <w:rFonts w:ascii="Times New Roman" w:hAnsi="Times New Roman" w:cs="Times New Roman" w:hint="eastAsia"/>
              </w:rPr>
              <w:t>Feb</w:t>
            </w:r>
            <w:r w:rsidR="00082685">
              <w:rPr>
                <w:rFonts w:ascii="Times New Roman" w:hAnsi="Times New Roman" w:cs="Times New Roman"/>
              </w:rPr>
              <w:t xml:space="preserve"> 2022</w:t>
            </w:r>
          </w:p>
        </w:tc>
      </w:tr>
    </w:tbl>
    <w:bookmarkEnd w:id="0"/>
    <w:bookmarkEnd w:id="1"/>
    <w:bookmarkEnd w:id="2"/>
    <w:p w14:paraId="118CB504" w14:textId="55C229C1" w:rsidR="007132F8" w:rsidRPr="007132F8" w:rsidRDefault="007132F8" w:rsidP="00082685">
      <w:pPr>
        <w:spacing w:before="120" w:after="120"/>
        <w:jc w:val="both"/>
        <w:rPr>
          <w:rFonts w:ascii="Times New Roman" w:hAnsi="Times New Roman" w:cs="Times New Roman"/>
          <w:lang w:val="en-US"/>
        </w:rPr>
      </w:pPr>
      <w:r w:rsidRPr="007132F8">
        <w:rPr>
          <w:rFonts w:ascii="Times New Roman" w:hAnsi="Times New Roman" w:cs="Times New Roman"/>
          <w:lang w:val="en-US"/>
        </w:rPr>
        <w:t xml:space="preserve">The term concerned belongs to the triad of liberty, </w:t>
      </w:r>
      <w:r w:rsidR="004D10F2">
        <w:rPr>
          <w:rFonts w:ascii="Times New Roman" w:hAnsi="Times New Roman" w:cs="Times New Roman"/>
          <w:lang w:val="en-US"/>
        </w:rPr>
        <w:t>e</w:t>
      </w:r>
      <w:r w:rsidRPr="007132F8">
        <w:rPr>
          <w:rFonts w:ascii="Times New Roman" w:hAnsi="Times New Roman" w:cs="Times New Roman"/>
          <w:lang w:val="en-US"/>
        </w:rPr>
        <w:t>quality, and social welfare that are intertwined with one another like communication pipes. The latter component of this triad certainly echoes the sentiment known by many from the annals of history of the French Revolution, namely “brotherhood” (</w:t>
      </w:r>
      <w:r w:rsidRPr="00C41093">
        <w:rPr>
          <w:rFonts w:ascii="Times New Roman" w:hAnsi="Times New Roman" w:cs="Times New Roman"/>
          <w:i/>
          <w:iCs/>
          <w:lang w:val="en-US"/>
        </w:rPr>
        <w:t>fraternité</w:t>
      </w:r>
      <w:r w:rsidRPr="007132F8">
        <w:rPr>
          <w:rFonts w:ascii="Times New Roman" w:hAnsi="Times New Roman" w:cs="Times New Roman"/>
          <w:lang w:val="en-US"/>
        </w:rPr>
        <w:t>). At present, we can speak of “neighborliness”, converting this social responsibility into “social welfare”.</w:t>
      </w:r>
    </w:p>
    <w:p w14:paraId="1EA9FB24" w14:textId="77777777" w:rsidR="007132F8" w:rsidRPr="007132F8" w:rsidRDefault="007132F8" w:rsidP="00082685">
      <w:pPr>
        <w:spacing w:before="120" w:after="120"/>
        <w:jc w:val="both"/>
        <w:rPr>
          <w:rFonts w:ascii="Times New Roman" w:hAnsi="Times New Roman" w:cs="Times New Roman"/>
          <w:b/>
          <w:bCs/>
          <w:lang w:val="en-US"/>
        </w:rPr>
      </w:pPr>
      <w:r w:rsidRPr="007132F8">
        <w:rPr>
          <w:rFonts w:ascii="Times New Roman" w:hAnsi="Times New Roman" w:cs="Times New Roman"/>
          <w:b/>
          <w:bCs/>
          <w:lang w:val="en-US"/>
        </w:rPr>
        <w:t>I. Classification</w:t>
      </w:r>
    </w:p>
    <w:p w14:paraId="7A1456C3" w14:textId="3114F414" w:rsidR="007132F8" w:rsidRDefault="007132F8" w:rsidP="00082685">
      <w:pPr>
        <w:spacing w:before="120" w:after="120"/>
        <w:jc w:val="both"/>
        <w:rPr>
          <w:rFonts w:ascii="Times New Roman" w:hAnsi="Times New Roman" w:cs="Times New Roman"/>
          <w:lang w:val="en-US"/>
        </w:rPr>
      </w:pPr>
      <w:r w:rsidRPr="007132F8">
        <w:rPr>
          <w:rFonts w:ascii="Times New Roman" w:hAnsi="Times New Roman" w:cs="Times New Roman"/>
          <w:lang w:val="en-US"/>
        </w:rPr>
        <w:t>Protection against attacks on one’s private sphere (especially one’s life, physical integrity, personal freedoms, right of property or inheritance, see key word “private property”) is supported by a history of liberal individualism and the notion rooted in (natural law) contractualism that certain pre-state rights are inalienable and involatile.</w:t>
      </w:r>
      <w:r w:rsidR="00D4790F">
        <w:rPr>
          <w:rFonts w:ascii="Times New Roman" w:hAnsi="Times New Roman" w:cs="Times New Roman"/>
          <w:lang w:val="en-US"/>
        </w:rPr>
        <w:t xml:space="preserve"> In addition to these guarantees, there is also equality of treatment. This principle of justice currently plays an important role in democracy, and is and must be valid, independent from all the liberal and democratic tenets. We can examine universal suffrage, guaranteeing that every vote has equal value in political elections: Only so can democratic decision-making occur. Article 3 of the Basic Law for the General Republic of German</w:t>
      </w:r>
      <w:r w:rsidR="00963008">
        <w:rPr>
          <w:rFonts w:ascii="Times New Roman" w:hAnsi="Times New Roman" w:cs="Times New Roman"/>
          <w:lang w:val="en-US"/>
        </w:rPr>
        <w:t xml:space="preserve"> (</w:t>
      </w:r>
      <w:r w:rsidR="00963008" w:rsidRPr="00C41093">
        <w:rPr>
          <w:rFonts w:ascii="Times New Roman" w:hAnsi="Times New Roman" w:cs="Times New Roman"/>
          <w:i/>
          <w:iCs/>
          <w:lang w:val="en-US"/>
        </w:rPr>
        <w:t>Grundgesetz</w:t>
      </w:r>
      <w:r w:rsidR="00963008">
        <w:rPr>
          <w:rFonts w:ascii="Times New Roman" w:hAnsi="Times New Roman" w:cs="Times New Roman"/>
          <w:lang w:val="en-US"/>
        </w:rPr>
        <w:t>)</w:t>
      </w:r>
      <w:r w:rsidR="00D4790F">
        <w:rPr>
          <w:rFonts w:ascii="Times New Roman" w:hAnsi="Times New Roman" w:cs="Times New Roman"/>
          <w:lang w:val="en-US"/>
        </w:rPr>
        <w:t xml:space="preserve"> elevates equality of treatment to a fundamental right. The citizens’ sense of justice functions when decisions on the equality of treatment are made and measured “with the same gage”; ethically secured symmetry for the citizen is manifested only then, resulting in a balanced sense of justice and legal security, as merely formal equality is insufficient.</w:t>
      </w:r>
    </w:p>
    <w:p w14:paraId="14453026" w14:textId="5E91A376" w:rsidR="00D4790F" w:rsidRDefault="00D4790F" w:rsidP="00082685">
      <w:pPr>
        <w:spacing w:before="120" w:after="120"/>
        <w:jc w:val="both"/>
        <w:rPr>
          <w:rFonts w:ascii="Times New Roman" w:hAnsi="Times New Roman" w:cs="Times New Roman"/>
          <w:lang w:val="en-US"/>
        </w:rPr>
      </w:pPr>
      <w:r>
        <w:rPr>
          <w:rFonts w:ascii="Times New Roman" w:hAnsi="Times New Roman" w:cs="Times New Roman"/>
          <w:lang w:val="en-US"/>
        </w:rPr>
        <w:t xml:space="preserve">Striving for equality can ultimately lead to conflict with the free development of character and the “equality at the start of the race that quickly devolves into inequality” (Radbruch) if people are subjected </w:t>
      </w:r>
      <w:r w:rsidR="004D10F2">
        <w:rPr>
          <w:rFonts w:ascii="Times New Roman" w:hAnsi="Times New Roman" w:cs="Times New Roman"/>
          <w:lang w:val="en-US"/>
        </w:rPr>
        <w:t xml:space="preserve">to </w:t>
      </w:r>
      <w:r>
        <w:rPr>
          <w:rFonts w:ascii="Times New Roman" w:hAnsi="Times New Roman" w:cs="Times New Roman"/>
          <w:lang w:val="en-US"/>
        </w:rPr>
        <w:t xml:space="preserve">unequal starting conditions, </w:t>
      </w:r>
      <w:r w:rsidR="004D10F2">
        <w:rPr>
          <w:rFonts w:ascii="Times New Roman" w:hAnsi="Times New Roman" w:cs="Times New Roman"/>
          <w:lang w:val="en-US"/>
        </w:rPr>
        <w:t>a fact which</w:t>
      </w:r>
      <w:r>
        <w:rPr>
          <w:rFonts w:ascii="Times New Roman" w:hAnsi="Times New Roman" w:cs="Times New Roman"/>
          <w:lang w:val="en-US"/>
        </w:rPr>
        <w:t xml:space="preserve"> competition law conversely seeks to remedy.</w:t>
      </w:r>
    </w:p>
    <w:p w14:paraId="2FD46978" w14:textId="72EE10E3" w:rsidR="00F0303B" w:rsidRPr="00F0303B" w:rsidRDefault="00F0303B" w:rsidP="00082685">
      <w:pPr>
        <w:spacing w:before="120" w:after="120"/>
        <w:jc w:val="both"/>
        <w:rPr>
          <w:rFonts w:ascii="Times New Roman" w:hAnsi="Times New Roman" w:cs="Times New Roman"/>
          <w:b/>
          <w:bCs/>
          <w:lang w:val="en-US"/>
        </w:rPr>
      </w:pPr>
      <w:r w:rsidRPr="00F0303B">
        <w:rPr>
          <w:rFonts w:ascii="Times New Roman" w:hAnsi="Times New Roman" w:cs="Times New Roman"/>
          <w:b/>
          <w:bCs/>
          <w:lang w:val="en-US"/>
        </w:rPr>
        <w:t xml:space="preserve">II. The Guarantees of </w:t>
      </w:r>
      <w:r w:rsidR="00853CB7">
        <w:rPr>
          <w:rFonts w:ascii="Times New Roman" w:hAnsi="Times New Roman" w:cs="Times New Roman"/>
          <w:b/>
          <w:bCs/>
          <w:lang w:val="en-US"/>
        </w:rPr>
        <w:t>Freedom</w:t>
      </w:r>
      <w:r w:rsidRPr="00F0303B">
        <w:rPr>
          <w:rFonts w:ascii="Times New Roman" w:hAnsi="Times New Roman" w:cs="Times New Roman"/>
          <w:b/>
          <w:bCs/>
          <w:lang w:val="en-US"/>
        </w:rPr>
        <w:t xml:space="preserve"> and Equality</w:t>
      </w:r>
    </w:p>
    <w:p w14:paraId="4DEB512F" w14:textId="5DB8FE8F" w:rsidR="00047DD3" w:rsidRDefault="00F0303B" w:rsidP="00082685">
      <w:pPr>
        <w:spacing w:before="120" w:after="120"/>
        <w:jc w:val="both"/>
        <w:rPr>
          <w:rFonts w:ascii="Times New Roman" w:hAnsi="Times New Roman" w:cs="Times New Roman"/>
          <w:lang w:val="en-US"/>
        </w:rPr>
      </w:pPr>
      <w:r>
        <w:rPr>
          <w:rFonts w:ascii="Times New Roman" w:hAnsi="Times New Roman" w:cs="Times New Roman"/>
          <w:lang w:val="en-US"/>
        </w:rPr>
        <w:t xml:space="preserve">The relation between </w:t>
      </w:r>
      <w:r w:rsidR="00853CB7">
        <w:rPr>
          <w:rFonts w:ascii="Times New Roman" w:hAnsi="Times New Roman" w:cs="Times New Roman"/>
          <w:lang w:val="en-US"/>
        </w:rPr>
        <w:t>freedom</w:t>
      </w:r>
      <w:r>
        <w:rPr>
          <w:rFonts w:ascii="Times New Roman" w:hAnsi="Times New Roman" w:cs="Times New Roman"/>
          <w:lang w:val="en-US"/>
        </w:rPr>
        <w:t xml:space="preserve"> and equality requires a fine rebalancing. </w:t>
      </w:r>
      <w:r w:rsidR="00047DD3">
        <w:rPr>
          <w:rFonts w:ascii="Times New Roman" w:hAnsi="Times New Roman" w:cs="Times New Roman"/>
          <w:lang w:val="en-US"/>
        </w:rPr>
        <w:t xml:space="preserve">The constitutionalist Leibholz offers his view: “Let us not forget that the </w:t>
      </w:r>
      <w:r w:rsidR="00807933">
        <w:rPr>
          <w:rFonts w:ascii="Times New Roman" w:hAnsi="Times New Roman" w:cs="Times New Roman"/>
          <w:lang w:val="en-US"/>
        </w:rPr>
        <w:t xml:space="preserve">inequality of strata created by liberty cause the value of liberty to appear problematic and that it can only be the deeper meaning of progressive political and social equalization to enable those who have become inhibited by liberty with the help of equality, …that those who have been disenfranchised by liberty once again attain liberty.” Justice </w:t>
      </w:r>
      <w:r w:rsidR="00825DD9">
        <w:rPr>
          <w:rFonts w:ascii="Times New Roman" w:hAnsi="Times New Roman" w:cs="Times New Roman"/>
          <w:lang w:val="en-US"/>
        </w:rPr>
        <w:t>should never be the subordinate of one principle; thus</w:t>
      </w:r>
      <w:r w:rsidR="004D10F2">
        <w:rPr>
          <w:rFonts w:ascii="Times New Roman" w:hAnsi="Times New Roman" w:cs="Times New Roman"/>
          <w:lang w:val="en-US"/>
        </w:rPr>
        <w:t>,</w:t>
      </w:r>
      <w:r w:rsidR="00825DD9">
        <w:rPr>
          <w:rFonts w:ascii="Times New Roman" w:hAnsi="Times New Roman" w:cs="Times New Roman"/>
          <w:lang w:val="en-US"/>
        </w:rPr>
        <w:t xml:space="preserve"> the constitution</w:t>
      </w:r>
      <w:r w:rsidR="004D10F2">
        <w:rPr>
          <w:rFonts w:ascii="Times New Roman" w:hAnsi="Times New Roman" w:cs="Times New Roman"/>
          <w:lang w:val="en-US"/>
        </w:rPr>
        <w:t xml:space="preserve"> is</w:t>
      </w:r>
      <w:r w:rsidR="00825DD9">
        <w:rPr>
          <w:rFonts w:ascii="Times New Roman" w:hAnsi="Times New Roman" w:cs="Times New Roman"/>
          <w:lang w:val="en-US"/>
        </w:rPr>
        <w:t xml:space="preserve"> to be understood as a unit </w:t>
      </w:r>
      <w:r w:rsidR="004D10F2">
        <w:rPr>
          <w:rFonts w:ascii="Times New Roman" w:hAnsi="Times New Roman" w:cs="Times New Roman"/>
          <w:lang w:val="en-US"/>
        </w:rPr>
        <w:t>(</w:t>
      </w:r>
      <w:r w:rsidR="00963008">
        <w:rPr>
          <w:rFonts w:ascii="Times New Roman" w:hAnsi="Times New Roman" w:cs="Times New Roman"/>
          <w:lang w:val="en-US"/>
        </w:rPr>
        <w:t>Federal Constitutional Court</w:t>
      </w:r>
      <w:r w:rsidR="004D10F2">
        <w:rPr>
          <w:rFonts w:ascii="Times New Roman" w:hAnsi="Times New Roman" w:cs="Times New Roman"/>
          <w:lang w:val="en-US"/>
        </w:rPr>
        <w:t xml:space="preserve"> (</w:t>
      </w:r>
      <w:r w:rsidR="004D10F2" w:rsidRPr="00C41093">
        <w:rPr>
          <w:rFonts w:ascii="Times New Roman" w:hAnsi="Times New Roman" w:cs="Times New Roman"/>
          <w:i/>
          <w:iCs/>
          <w:lang w:val="en-US"/>
        </w:rPr>
        <w:t>Bundesverfassungsgericht</w:t>
      </w:r>
      <w:r w:rsidR="00963008">
        <w:rPr>
          <w:rFonts w:ascii="Times New Roman" w:hAnsi="Times New Roman" w:cs="Times New Roman"/>
          <w:lang w:val="en-US"/>
        </w:rPr>
        <w:t>)</w:t>
      </w:r>
      <w:r w:rsidR="00825DD9">
        <w:rPr>
          <w:rFonts w:ascii="Times New Roman" w:hAnsi="Times New Roman" w:cs="Times New Roman"/>
          <w:lang w:val="en-US"/>
        </w:rPr>
        <w:t xml:space="preserve"> 3, 225, 23, 98; previously: BVerfG 1, 14 on the basic principles of the constitution which are so fundamental, that they bind the constitutional legislator himself and, therefore, other constitutional provisions that do not have this fundamental status </w:t>
      </w:r>
      <w:r w:rsidR="004D10F2">
        <w:rPr>
          <w:rFonts w:ascii="Times New Roman" w:hAnsi="Times New Roman" w:cs="Times New Roman"/>
          <w:lang w:val="en-US"/>
        </w:rPr>
        <w:t>and/or</w:t>
      </w:r>
      <w:r w:rsidR="00825DD9">
        <w:rPr>
          <w:rFonts w:ascii="Times New Roman" w:hAnsi="Times New Roman" w:cs="Times New Roman"/>
          <w:lang w:val="en-US"/>
        </w:rPr>
        <w:t xml:space="preserve"> infringe on it are void). Furthermore, all principles must be </w:t>
      </w:r>
      <w:r w:rsidR="00853CB7">
        <w:rPr>
          <w:rFonts w:ascii="Times New Roman" w:hAnsi="Times New Roman" w:cs="Times New Roman"/>
          <w:lang w:val="en-US"/>
        </w:rPr>
        <w:t xml:space="preserve">examined </w:t>
      </w:r>
      <w:r w:rsidR="004D10F2">
        <w:rPr>
          <w:rFonts w:ascii="Times New Roman" w:hAnsi="Times New Roman" w:cs="Times New Roman"/>
          <w:lang w:val="en-US"/>
        </w:rPr>
        <w:t xml:space="preserve">at the very least </w:t>
      </w:r>
      <w:r w:rsidR="00853CB7">
        <w:rPr>
          <w:rFonts w:ascii="Times New Roman" w:hAnsi="Times New Roman" w:cs="Times New Roman"/>
          <w:lang w:val="en-US"/>
        </w:rPr>
        <w:t>and brought into harmony and concordance, therein requiring that the criteria for the limitation of freedoms and justice to be passed be created and defined, keeping in pace with the times.</w:t>
      </w:r>
    </w:p>
    <w:p w14:paraId="6D1A888E" w14:textId="3F9F5521" w:rsidR="00853CB7" w:rsidRDefault="00853CB7" w:rsidP="00082685">
      <w:pPr>
        <w:spacing w:before="120" w:after="120"/>
        <w:jc w:val="both"/>
        <w:rPr>
          <w:rFonts w:ascii="Times New Roman" w:hAnsi="Times New Roman" w:cs="Times New Roman"/>
          <w:lang w:val="en-US"/>
        </w:rPr>
      </w:pPr>
      <w:r>
        <w:rPr>
          <w:rFonts w:ascii="Times New Roman" w:hAnsi="Times New Roman" w:cs="Times New Roman"/>
          <w:lang w:val="en-US"/>
        </w:rPr>
        <w:t>Constitutional rights can be divided into guarantees of liberty and equality. The former offers a general, comprehensive guarantee of free personal development but also encompasses special types of guarantees</w:t>
      </w:r>
      <w:r w:rsidR="00A17EC8">
        <w:rPr>
          <w:rFonts w:ascii="Times New Roman" w:hAnsi="Times New Roman" w:cs="Times New Roman"/>
          <w:lang w:val="en-US"/>
        </w:rPr>
        <w:t xml:space="preserve"> of liberty</w:t>
      </w:r>
      <w:r>
        <w:rPr>
          <w:rFonts w:ascii="Times New Roman" w:hAnsi="Times New Roman" w:cs="Times New Roman"/>
          <w:lang w:val="en-US"/>
        </w:rPr>
        <w:t xml:space="preserve">, such as freedom of religion, of opinion, and of occupation. </w:t>
      </w:r>
      <w:r w:rsidR="00A17EC8">
        <w:rPr>
          <w:rFonts w:ascii="Times New Roman" w:hAnsi="Times New Roman" w:cs="Times New Roman"/>
          <w:lang w:val="en-US"/>
        </w:rPr>
        <w:t xml:space="preserve">The general principle of equality (as described in Art. 3 I GG) and the specific guarantees of equal rights (such as Art. 3 II, 33 I, II, 38 I </w:t>
      </w:r>
      <w:r w:rsidR="00060A06">
        <w:rPr>
          <w:rFonts w:ascii="Times New Roman" w:hAnsi="Times New Roman" w:cs="Times New Roman"/>
          <w:lang w:val="en-US"/>
        </w:rPr>
        <w:t>S</w:t>
      </w:r>
      <w:r w:rsidR="00A17EC8">
        <w:rPr>
          <w:rFonts w:ascii="Times New Roman" w:hAnsi="Times New Roman" w:cs="Times New Roman"/>
          <w:lang w:val="en-US"/>
        </w:rPr>
        <w:t>. 1 GG), and the legal prohibition of discrimination (Art. 3 III, 33 III GG) also comply in a similar relationship to one another.</w:t>
      </w:r>
    </w:p>
    <w:p w14:paraId="718E58AB" w14:textId="1C09D0E3" w:rsidR="00A17EC8" w:rsidRDefault="00890FF2" w:rsidP="00082685">
      <w:pPr>
        <w:spacing w:before="120" w:after="120"/>
        <w:jc w:val="both"/>
        <w:rPr>
          <w:rFonts w:ascii="Times New Roman" w:hAnsi="Times New Roman" w:cs="Times New Roman"/>
          <w:lang w:val="en-US"/>
        </w:rPr>
      </w:pPr>
      <w:r>
        <w:rPr>
          <w:rFonts w:ascii="Times New Roman" w:hAnsi="Times New Roman" w:cs="Times New Roman"/>
          <w:lang w:val="en-US"/>
        </w:rPr>
        <w:lastRenderedPageBreak/>
        <w:t xml:space="preserve">Under the Constitution of the German Reich from 1919, the belief prevailed that a legal person generally </w:t>
      </w:r>
      <w:r w:rsidR="00060A06">
        <w:rPr>
          <w:rFonts w:ascii="Times New Roman" w:hAnsi="Times New Roman" w:cs="Times New Roman"/>
          <w:lang w:val="en-US"/>
        </w:rPr>
        <w:t>could not be</w:t>
      </w:r>
      <w:r w:rsidR="004D10F2">
        <w:rPr>
          <w:rFonts w:ascii="Times New Roman" w:hAnsi="Times New Roman" w:cs="Times New Roman"/>
          <w:lang w:val="en-US"/>
        </w:rPr>
        <w:t xml:space="preserve"> the</w:t>
      </w:r>
      <w:r w:rsidR="00060A06">
        <w:rPr>
          <w:rFonts w:ascii="Times New Roman" w:hAnsi="Times New Roman" w:cs="Times New Roman"/>
          <w:lang w:val="en-US"/>
        </w:rPr>
        <w:t xml:space="preserve"> bearer of constitutional rights as according to Art. 19 III GG: “The basic rights shall also apply to domestic legal persons to the extent that the nature of such rights permits.”</w:t>
      </w:r>
    </w:p>
    <w:p w14:paraId="21A2721E" w14:textId="2AB92694" w:rsidR="00060A06" w:rsidRDefault="00060A06" w:rsidP="00082685">
      <w:pPr>
        <w:spacing w:before="120" w:after="120"/>
        <w:jc w:val="both"/>
        <w:rPr>
          <w:rFonts w:ascii="Times New Roman" w:hAnsi="Times New Roman" w:cs="Times New Roman"/>
          <w:lang w:val="en-US"/>
        </w:rPr>
      </w:pPr>
      <w:r>
        <w:rPr>
          <w:rFonts w:ascii="Times New Roman" w:hAnsi="Times New Roman" w:cs="Times New Roman"/>
          <w:lang w:val="en-US"/>
        </w:rPr>
        <w:t xml:space="preserve">Those who abuse certain civil liberties, such as freedom of expression, freedom of teaching, etc., forfeit these constitutional rights according to Art. 18 S. 1 GG: “A right is forfeited if the person entitled has waited a long time to exercise the right (element of time), and the party liable </w:t>
      </w:r>
      <w:r w:rsidR="002637C9">
        <w:rPr>
          <w:rFonts w:ascii="Times New Roman" w:hAnsi="Times New Roman" w:cs="Times New Roman"/>
          <w:lang w:val="en-US"/>
        </w:rPr>
        <w:t xml:space="preserve">could therefore assume </w:t>
      </w:r>
      <w:r w:rsidR="00E37A12">
        <w:rPr>
          <w:rFonts w:ascii="Times New Roman" w:hAnsi="Times New Roman" w:cs="Times New Roman"/>
          <w:lang w:val="en-US"/>
        </w:rPr>
        <w:t xml:space="preserve">to no longer carry out that which he intended to, and the present </w:t>
      </w:r>
      <w:r w:rsidR="002637C9">
        <w:rPr>
          <w:rFonts w:ascii="Times New Roman" w:hAnsi="Times New Roman" w:cs="Times New Roman"/>
          <w:lang w:val="en-US"/>
        </w:rPr>
        <w:t>fulfil</w:t>
      </w:r>
      <w:r w:rsidR="00E37A12">
        <w:rPr>
          <w:rFonts w:ascii="Times New Roman" w:hAnsi="Times New Roman" w:cs="Times New Roman"/>
          <w:lang w:val="en-US"/>
        </w:rPr>
        <w:t>ment</w:t>
      </w:r>
      <w:r w:rsidR="002637C9">
        <w:rPr>
          <w:rFonts w:ascii="Times New Roman" w:hAnsi="Times New Roman" w:cs="Times New Roman"/>
          <w:lang w:val="en-US"/>
        </w:rPr>
        <w:t xml:space="preserve"> the right </w:t>
      </w:r>
      <w:r w:rsidR="00E37A12">
        <w:rPr>
          <w:rFonts w:ascii="Times New Roman" w:hAnsi="Times New Roman" w:cs="Times New Roman"/>
          <w:lang w:val="en-US"/>
        </w:rPr>
        <w:t>or claim with consideration of all circumstances of the individual case is no longer feasible in good faith (element of circumstance)” (</w:t>
      </w:r>
      <w:r w:rsidR="00963008">
        <w:rPr>
          <w:rFonts w:ascii="Times New Roman" w:hAnsi="Times New Roman" w:cs="Times New Roman"/>
          <w:lang w:val="en-US"/>
        </w:rPr>
        <w:t>Federal Labor Court</w:t>
      </w:r>
      <w:r w:rsidR="00E37A12">
        <w:rPr>
          <w:rFonts w:ascii="Times New Roman" w:hAnsi="Times New Roman" w:cs="Times New Roman"/>
          <w:lang w:val="en-US"/>
        </w:rPr>
        <w:t xml:space="preserve">, decision dated 01.12.2004 – 7 </w:t>
      </w:r>
      <w:r w:rsidR="00963008">
        <w:rPr>
          <w:rFonts w:ascii="Times New Roman" w:hAnsi="Times New Roman" w:cs="Times New Roman"/>
          <w:lang w:val="en-US"/>
        </w:rPr>
        <w:t>case no.</w:t>
      </w:r>
      <w:r w:rsidR="00E37A12">
        <w:rPr>
          <w:rFonts w:ascii="Times New Roman" w:hAnsi="Times New Roman" w:cs="Times New Roman"/>
          <w:lang w:val="en-US"/>
        </w:rPr>
        <w:t xml:space="preserve"> 198/04, cited according to juris, line 32). Human dignity or the right to equal treatment</w:t>
      </w:r>
      <w:r w:rsidR="003B78B7">
        <w:rPr>
          <w:rFonts w:ascii="Times New Roman" w:hAnsi="Times New Roman" w:cs="Times New Roman"/>
          <w:lang w:val="en-US"/>
        </w:rPr>
        <w:t>, on the other hand, are not forfeitable (Art. 1 and 3 GG). While the forfeiture should take the abused right from the person, it should</w:t>
      </w:r>
      <w:r w:rsidR="004D10F2">
        <w:rPr>
          <w:rFonts w:ascii="Times New Roman" w:hAnsi="Times New Roman" w:cs="Times New Roman"/>
          <w:lang w:val="en-US"/>
        </w:rPr>
        <w:t xml:space="preserve"> not</w:t>
      </w:r>
      <w:r w:rsidR="003B78B7">
        <w:rPr>
          <w:rFonts w:ascii="Times New Roman" w:hAnsi="Times New Roman" w:cs="Times New Roman"/>
          <w:lang w:val="en-US"/>
        </w:rPr>
        <w:t xml:space="preserve"> be considered a punishment that is inflicted upon said person.</w:t>
      </w:r>
    </w:p>
    <w:p w14:paraId="04764A72" w14:textId="48CAE4D2" w:rsidR="003B78B7" w:rsidRDefault="003B78B7" w:rsidP="00082685">
      <w:pPr>
        <w:spacing w:before="120" w:after="120"/>
        <w:jc w:val="both"/>
        <w:rPr>
          <w:rFonts w:ascii="Times New Roman" w:hAnsi="Times New Roman" w:cs="Times New Roman"/>
          <w:lang w:val="en-US"/>
        </w:rPr>
      </w:pPr>
      <w:r>
        <w:rPr>
          <w:rFonts w:ascii="Times New Roman" w:hAnsi="Times New Roman" w:cs="Times New Roman"/>
          <w:lang w:val="en-US"/>
        </w:rPr>
        <w:t>The same applies to the limitation of constitutional rights, especially in regard to the general relationship of power: civil servants, soldiers, detainees as well as those who find themselves in an extraordinary relationship of power, such as primary and secondary school students (see e.g. current pandemic legislation), generally or temporarily have their rights curtailed; this curtailment, however, may never apply to human dignity or basic principle of equality.</w:t>
      </w:r>
    </w:p>
    <w:p w14:paraId="7C01C420" w14:textId="0CA5B2BF" w:rsidR="00551D4B" w:rsidRDefault="00551D4B" w:rsidP="00082685">
      <w:pPr>
        <w:spacing w:before="120" w:after="120"/>
        <w:jc w:val="both"/>
        <w:rPr>
          <w:rFonts w:ascii="Times New Roman" w:hAnsi="Times New Roman" w:cs="Times New Roman"/>
          <w:b/>
          <w:bCs/>
          <w:lang w:val="en-US"/>
        </w:rPr>
      </w:pPr>
      <w:r w:rsidRPr="00246F8A">
        <w:rPr>
          <w:rFonts w:ascii="Times New Roman" w:hAnsi="Times New Roman" w:cs="Times New Roman"/>
          <w:b/>
          <w:bCs/>
          <w:lang w:val="en-US"/>
        </w:rPr>
        <w:t xml:space="preserve">III. Equality in the </w:t>
      </w:r>
      <w:r w:rsidR="00246F8A" w:rsidRPr="00246F8A">
        <w:rPr>
          <w:rFonts w:ascii="Times New Roman" w:hAnsi="Times New Roman" w:cs="Times New Roman"/>
          <w:b/>
          <w:bCs/>
          <w:lang w:val="en-US"/>
        </w:rPr>
        <w:t>Workplace and Individual Labor Law</w:t>
      </w:r>
    </w:p>
    <w:p w14:paraId="4BC70ED8" w14:textId="515496AF" w:rsidR="00246F8A" w:rsidRDefault="00246F8A" w:rsidP="00082685">
      <w:pPr>
        <w:spacing w:before="120" w:after="120"/>
        <w:jc w:val="both"/>
        <w:rPr>
          <w:rFonts w:ascii="Times New Roman" w:hAnsi="Times New Roman" w:cs="Times New Roman"/>
          <w:lang w:val="en-US"/>
        </w:rPr>
      </w:pPr>
      <w:r>
        <w:rPr>
          <w:rFonts w:ascii="Times New Roman" w:hAnsi="Times New Roman" w:cs="Times New Roman"/>
          <w:lang w:val="en-US"/>
        </w:rPr>
        <w:t xml:space="preserve">Thoroughly scoured, this field of law reveals diverse aspects of equality, </w:t>
      </w:r>
      <w:r w:rsidR="004D10F2">
        <w:rPr>
          <w:rFonts w:ascii="Times New Roman" w:hAnsi="Times New Roman" w:cs="Times New Roman"/>
          <w:lang w:val="en-US"/>
        </w:rPr>
        <w:t>equality of</w:t>
      </w:r>
      <w:r>
        <w:rPr>
          <w:rFonts w:ascii="Times New Roman" w:hAnsi="Times New Roman" w:cs="Times New Roman"/>
          <w:lang w:val="en-US"/>
        </w:rPr>
        <w:t xml:space="preserve"> treatment, and equalization. Within supra-national law (especially E</w:t>
      </w:r>
      <w:r w:rsidR="00963008">
        <w:rPr>
          <w:rFonts w:ascii="Times New Roman" w:hAnsi="Times New Roman" w:cs="Times New Roman"/>
          <w:lang w:val="en-US"/>
        </w:rPr>
        <w:t>C law</w:t>
      </w:r>
      <w:r>
        <w:rPr>
          <w:rFonts w:ascii="Times New Roman" w:hAnsi="Times New Roman" w:cs="Times New Roman"/>
          <w:lang w:val="en-US"/>
        </w:rPr>
        <w:t xml:space="preserve">), we encounter Art. 45 </w:t>
      </w:r>
      <w:r w:rsidR="00963008">
        <w:rPr>
          <w:rFonts w:ascii="Times New Roman" w:hAnsi="Times New Roman" w:cs="Times New Roman"/>
          <w:lang w:val="en-US"/>
        </w:rPr>
        <w:t>of the Treaty on the Functioning of the EU (</w:t>
      </w:r>
      <w:r w:rsidR="00963008" w:rsidRPr="00C41093">
        <w:rPr>
          <w:rFonts w:ascii="Times New Roman" w:hAnsi="Times New Roman" w:cs="Times New Roman"/>
          <w:i/>
          <w:iCs/>
          <w:lang w:val="en-US"/>
        </w:rPr>
        <w:t>Vertrag über die Arbeitsweise der Europäischen Union</w:t>
      </w:r>
      <w:r w:rsidR="00963008">
        <w:rPr>
          <w:rFonts w:ascii="Times New Roman" w:hAnsi="Times New Roman" w:cs="Times New Roman"/>
          <w:lang w:val="en-US"/>
        </w:rPr>
        <w:t>)</w:t>
      </w:r>
      <w:r>
        <w:rPr>
          <w:rFonts w:ascii="Times New Roman" w:hAnsi="Times New Roman" w:cs="Times New Roman"/>
          <w:lang w:val="en-US"/>
        </w:rPr>
        <w:t xml:space="preserve"> (movement for workers) and Art. 157 (wage equality). The intention of this legislative alignment leads to equal treatment within the EU.</w:t>
      </w:r>
    </w:p>
    <w:p w14:paraId="1C7C5DF2" w14:textId="29CD6C92" w:rsidR="00262946" w:rsidRDefault="00246F8A" w:rsidP="00082685">
      <w:pPr>
        <w:spacing w:before="120" w:after="120"/>
        <w:jc w:val="both"/>
        <w:rPr>
          <w:rFonts w:ascii="Times New Roman" w:hAnsi="Times New Roman" w:cs="Times New Roman"/>
          <w:lang w:val="en-US"/>
        </w:rPr>
      </w:pPr>
      <w:r>
        <w:rPr>
          <w:rFonts w:ascii="Times New Roman" w:hAnsi="Times New Roman" w:cs="Times New Roman" w:hint="eastAsia"/>
          <w:lang w:val="en-US"/>
        </w:rPr>
        <w:t>Acc</w:t>
      </w:r>
      <w:r>
        <w:rPr>
          <w:rFonts w:ascii="Times New Roman" w:hAnsi="Times New Roman" w:cs="Times New Roman"/>
          <w:lang w:val="en-US"/>
        </w:rPr>
        <w:t>ording to Art. 3 GG, all persons are equal before the law. It is a tenet of the labor law that an employer may not arbitrarily treat comparable employees differently. This principle of equality is expressed in many legal standardizations as well as in the general principle of equal treatment</w:t>
      </w:r>
      <w:r w:rsidR="00311C1E">
        <w:rPr>
          <w:rFonts w:ascii="Times New Roman" w:hAnsi="Times New Roman" w:cs="Times New Roman"/>
          <w:lang w:val="en-US"/>
        </w:rPr>
        <w:t xml:space="preserve"> within the labor law.</w:t>
      </w:r>
      <w:r w:rsidR="009025FB">
        <w:rPr>
          <w:rFonts w:ascii="Times New Roman" w:hAnsi="Times New Roman" w:cs="Times New Roman"/>
          <w:lang w:val="en-US"/>
        </w:rPr>
        <w:t xml:space="preserve"> Article 3 II GG incorporates a particular structuring of </w:t>
      </w:r>
      <w:r w:rsidR="004D10F2">
        <w:rPr>
          <w:rFonts w:ascii="Times New Roman" w:hAnsi="Times New Roman" w:cs="Times New Roman"/>
          <w:lang w:val="en-US"/>
        </w:rPr>
        <w:t xml:space="preserve">the </w:t>
      </w:r>
      <w:r w:rsidR="009025FB">
        <w:rPr>
          <w:rFonts w:ascii="Times New Roman" w:hAnsi="Times New Roman" w:cs="Times New Roman"/>
          <w:lang w:val="en-US"/>
        </w:rPr>
        <w:t>principle of equality: Men and women are thereafter equal before the law, with all genders that are biologically recognized by jurisprudence for diversity reasons</w:t>
      </w:r>
      <w:r w:rsidR="00ED402D">
        <w:rPr>
          <w:rFonts w:ascii="Times New Roman" w:hAnsi="Times New Roman" w:cs="Times New Roman"/>
          <w:lang w:val="en-US"/>
        </w:rPr>
        <w:t xml:space="preserve"> later incorporated</w:t>
      </w:r>
      <w:r w:rsidR="009025FB">
        <w:rPr>
          <w:rFonts w:ascii="Times New Roman" w:hAnsi="Times New Roman" w:cs="Times New Roman"/>
          <w:lang w:val="en-US"/>
        </w:rPr>
        <w:t xml:space="preserve">. Freedom of religion and freedom of conscience are also granted equal treatment with regard vis-à-vis the structuring of one concrete right of freedom: Article 4 GG protects freedom of faith, of conscience as well as religious and ideological beliefs. </w:t>
      </w:r>
      <w:r w:rsidR="00262946">
        <w:rPr>
          <w:rFonts w:ascii="Times New Roman" w:hAnsi="Times New Roman" w:cs="Times New Roman"/>
          <w:lang w:val="en-US"/>
        </w:rPr>
        <w:t xml:space="preserve">For freedom of religion and freedom of conscience, the </w:t>
      </w:r>
      <w:r w:rsidR="00963008">
        <w:rPr>
          <w:rFonts w:ascii="Times New Roman" w:hAnsi="Times New Roman" w:cs="Times New Roman"/>
          <w:lang w:val="en-US"/>
        </w:rPr>
        <w:t>Federal Constitutional Court</w:t>
      </w:r>
      <w:r w:rsidR="00262946">
        <w:rPr>
          <w:rFonts w:ascii="Times New Roman" w:hAnsi="Times New Roman" w:cs="Times New Roman"/>
          <w:lang w:val="en-US"/>
        </w:rPr>
        <w:t xml:space="preserve"> outlines that “this term particularly encompasses – </w:t>
      </w:r>
      <w:r w:rsidR="00262946">
        <w:rPr>
          <w:rFonts w:ascii="Times New Roman" w:hAnsi="Times New Roman" w:cs="Times New Roman"/>
          <w:b/>
          <w:bCs/>
          <w:lang w:val="en-US"/>
        </w:rPr>
        <w:t>neutrality</w:t>
      </w:r>
      <w:r w:rsidR="00262946">
        <w:rPr>
          <w:rFonts w:ascii="Times New Roman" w:hAnsi="Times New Roman" w:cs="Times New Roman"/>
          <w:lang w:val="en-US"/>
        </w:rPr>
        <w:t>, whether it concerns a religious belief or a non</w:t>
      </w:r>
      <w:r w:rsidR="00ED402D">
        <w:rPr>
          <w:rFonts w:ascii="Times New Roman" w:hAnsi="Times New Roman" w:cs="Times New Roman"/>
          <w:lang w:val="en-US"/>
        </w:rPr>
        <w:noBreakHyphen/>
      </w:r>
      <w:r w:rsidR="00262946">
        <w:rPr>
          <w:rFonts w:ascii="Times New Roman" w:hAnsi="Times New Roman" w:cs="Times New Roman"/>
          <w:lang w:val="en-US"/>
        </w:rPr>
        <w:t xml:space="preserve">religious or secular ideology – not only the inner freedom to believe or not believe, to recognize a belief, to refuse to tergiversate from a long-held belief, </w:t>
      </w:r>
      <w:r w:rsidR="006C2771">
        <w:rPr>
          <w:rFonts w:ascii="Times New Roman" w:hAnsi="Times New Roman" w:cs="Times New Roman"/>
          <w:lang w:val="en-US"/>
        </w:rPr>
        <w:t>and to turn to a different belief, but also the freedom of cult-like behavior, of advertising, of propaganda.”</w:t>
      </w:r>
    </w:p>
    <w:p w14:paraId="4E1C6260" w14:textId="2216DE8C" w:rsidR="006C2771" w:rsidRDefault="006C2771" w:rsidP="00082685">
      <w:pPr>
        <w:spacing w:before="120" w:after="120"/>
        <w:jc w:val="both"/>
        <w:rPr>
          <w:rFonts w:ascii="Times New Roman" w:hAnsi="Times New Roman" w:cs="Times New Roman"/>
          <w:lang w:val="en-US"/>
        </w:rPr>
      </w:pPr>
      <w:r>
        <w:rPr>
          <w:rFonts w:ascii="Times New Roman" w:hAnsi="Times New Roman" w:cs="Times New Roman"/>
          <w:lang w:val="en-US"/>
        </w:rPr>
        <w:t xml:space="preserve">In national constitutional law, positive and negative freedom of association are also treated equally: Article 9 para. 3 </w:t>
      </w:r>
      <w:r w:rsidR="00ED402D">
        <w:rPr>
          <w:rFonts w:ascii="Times New Roman" w:hAnsi="Times New Roman" w:cs="Times New Roman"/>
          <w:lang w:val="en-US"/>
        </w:rPr>
        <w:t>S</w:t>
      </w:r>
      <w:r>
        <w:rPr>
          <w:rFonts w:ascii="Times New Roman" w:hAnsi="Times New Roman" w:cs="Times New Roman"/>
          <w:lang w:val="en-US"/>
        </w:rPr>
        <w:t xml:space="preserve">. 1 GG guarantees the right to form associations to safeguard and improve working and economic conditions (freedom to form a coalition). It also guarantees the so-called position freedom of association, the right of the individual to form coalitions, to join them, and to maintain membership in them. Likewise, negative freedom of association is also protected, including the right of the individual to stay away from a coalition or withdraw from one. In accordance with </w:t>
      </w:r>
      <w:r w:rsidR="00695EF6">
        <w:rPr>
          <w:rFonts w:ascii="Times New Roman" w:hAnsi="Times New Roman" w:cs="Times New Roman"/>
          <w:lang w:val="en-US"/>
        </w:rPr>
        <w:t>this right, an agreement between an employer and a labor union that requires the employer to hire only union members would be unlawful.</w:t>
      </w:r>
    </w:p>
    <w:p w14:paraId="4D658376" w14:textId="5EAC7055" w:rsidR="00695EF6" w:rsidRDefault="00B42AE2" w:rsidP="00082685">
      <w:pPr>
        <w:spacing w:before="120" w:after="120"/>
        <w:jc w:val="both"/>
        <w:rPr>
          <w:rFonts w:ascii="Times New Roman" w:hAnsi="Times New Roman"/>
          <w:lang w:val="en-US"/>
        </w:rPr>
      </w:pPr>
      <w:r>
        <w:rPr>
          <w:rFonts w:ascii="Times New Roman" w:hAnsi="Times New Roman" w:cs="Times New Roman"/>
          <w:lang w:val="en-US"/>
        </w:rPr>
        <w:lastRenderedPageBreak/>
        <w:t xml:space="preserve">As constitutional rights are the primary right of defense against the state, constitutional rights such as Art. 4 GG (freedom of religion and conscience), Art 5. GG (freedom of opinion), Art. 6 GG, Art. 1. GG, Art. 12 GG, and Art. 14 GG do not directly come into effect in individual employment relationships. Nonetheless, in accordance with the judgement of the Federal Constitutional Court, the constitutional rights take effect through the general clauses of the </w:t>
      </w:r>
      <w:r w:rsidR="00963008">
        <w:rPr>
          <w:rFonts w:ascii="Times New Roman" w:hAnsi="Times New Roman" w:cs="Times New Roman"/>
          <w:lang w:val="en-US"/>
        </w:rPr>
        <w:t>German Civil Code (</w:t>
      </w:r>
      <w:r w:rsidR="00963008" w:rsidRPr="00ED402D">
        <w:rPr>
          <w:rFonts w:ascii="Times New Roman" w:hAnsi="Times New Roman" w:cs="Times New Roman"/>
          <w:i/>
          <w:iCs/>
          <w:lang w:val="en-US"/>
        </w:rPr>
        <w:t>Bürgerliches Gesetzbuch</w:t>
      </w:r>
      <w:r w:rsidR="00963008">
        <w:rPr>
          <w:rFonts w:ascii="Times New Roman" w:hAnsi="Times New Roman" w:cs="Times New Roman"/>
          <w:lang w:val="en-US"/>
        </w:rPr>
        <w:t>)</w:t>
      </w:r>
      <w:r>
        <w:rPr>
          <w:rFonts w:ascii="Times New Roman" w:hAnsi="Times New Roman" w:cs="Times New Roman"/>
          <w:lang w:val="en-US"/>
        </w:rPr>
        <w:t xml:space="preserve"> (</w:t>
      </w:r>
      <w:r w:rsidRPr="00B42AE2">
        <w:rPr>
          <w:rFonts w:ascii="Times New Roman" w:hAnsi="Times New Roman"/>
          <w:lang w:val="en-US"/>
        </w:rPr>
        <w:t>§§ 138, 157, 242, 315, 826</w:t>
      </w:r>
      <w:r>
        <w:rPr>
          <w:rFonts w:ascii="Times New Roman" w:hAnsi="Times New Roman"/>
          <w:lang w:val="en-US"/>
        </w:rPr>
        <w:t xml:space="preserve">) and, therefore, have a direct effect on the employment relationship. </w:t>
      </w:r>
      <w:r w:rsidR="00D94308">
        <w:rPr>
          <w:rFonts w:ascii="Times New Roman" w:hAnsi="Times New Roman"/>
          <w:lang w:val="en-US"/>
        </w:rPr>
        <w:t>While t</w:t>
      </w:r>
      <w:r>
        <w:rPr>
          <w:rFonts w:ascii="Times New Roman" w:hAnsi="Times New Roman"/>
          <w:lang w:val="en-US"/>
        </w:rPr>
        <w:t>he immediate third-part</w:t>
      </w:r>
      <w:r w:rsidR="00D94308">
        <w:rPr>
          <w:rFonts w:ascii="Times New Roman" w:hAnsi="Times New Roman"/>
          <w:lang w:val="en-US"/>
        </w:rPr>
        <w:t xml:space="preserve">y effect of </w:t>
      </w:r>
      <w:r w:rsidR="00ED402D">
        <w:rPr>
          <w:rFonts w:ascii="Times New Roman" w:hAnsi="Times New Roman"/>
          <w:lang w:val="en-US"/>
        </w:rPr>
        <w:t>fundamental</w:t>
      </w:r>
      <w:r w:rsidR="00D94308">
        <w:rPr>
          <w:rFonts w:ascii="Times New Roman" w:hAnsi="Times New Roman"/>
          <w:lang w:val="en-US"/>
        </w:rPr>
        <w:t xml:space="preserve"> rights is recognized today, it was harshly criticized a few years ago as an extreme intrusion into private law (see e.g. </w:t>
      </w:r>
      <w:r w:rsidR="00D94308" w:rsidRPr="00D94308">
        <w:rPr>
          <w:rFonts w:ascii="Times New Roman" w:hAnsi="Times New Roman"/>
          <w:lang w:val="en-US"/>
        </w:rPr>
        <w:t>Diederichsen</w:t>
      </w:r>
      <w:r w:rsidR="00D94308">
        <w:rPr>
          <w:rFonts w:ascii="Times New Roman" w:hAnsi="Times New Roman"/>
          <w:lang w:val="en-US"/>
        </w:rPr>
        <w:t xml:space="preserve">); still, judicature, including judicature of private law, considers the incorporation of constitutional rights as self-evident, especially with regards to human dignity and equality. According to the </w:t>
      </w:r>
      <w:r w:rsidR="00D94308">
        <w:rPr>
          <w:rFonts w:ascii="Times New Roman" w:hAnsi="Times New Roman" w:cs="Times New Roman"/>
          <w:lang w:val="en-US"/>
        </w:rPr>
        <w:t>general principle of equal treatment within the labor law</w:t>
      </w:r>
      <w:r w:rsidR="00D94308">
        <w:rPr>
          <w:rFonts w:ascii="Times New Roman" w:hAnsi="Times New Roman"/>
          <w:lang w:val="en-US"/>
        </w:rPr>
        <w:t xml:space="preserve"> developed by Federal Labor Court (</w:t>
      </w:r>
      <w:r w:rsidR="00963008" w:rsidRPr="00C41093">
        <w:rPr>
          <w:rFonts w:ascii="Times New Roman" w:hAnsi="Times New Roman"/>
          <w:i/>
          <w:iCs/>
          <w:lang w:val="en-US"/>
        </w:rPr>
        <w:t>Bundesarbeitsgericht</w:t>
      </w:r>
      <w:r w:rsidR="00D94308">
        <w:rPr>
          <w:rFonts w:ascii="Times New Roman" w:hAnsi="Times New Roman"/>
          <w:lang w:val="en-US"/>
        </w:rPr>
        <w:t>), an employer may not</w:t>
      </w:r>
      <w:r w:rsidR="006D3A7F">
        <w:rPr>
          <w:rFonts w:ascii="Times New Roman" w:hAnsi="Times New Roman"/>
          <w:lang w:val="en-US"/>
        </w:rPr>
        <w:t>, without objective grounds,</w:t>
      </w:r>
      <w:r w:rsidR="00D94308">
        <w:rPr>
          <w:rFonts w:ascii="Times New Roman" w:hAnsi="Times New Roman"/>
          <w:lang w:val="en-US"/>
        </w:rPr>
        <w:t xml:space="preserve"> exclude individual employees from benefits that he generally affords to a group of employees</w:t>
      </w:r>
      <w:r w:rsidR="00ED402D">
        <w:rPr>
          <w:rFonts w:ascii="Times New Roman" w:hAnsi="Times New Roman"/>
          <w:lang w:val="en-US"/>
        </w:rPr>
        <w:t>, even if there is no</w:t>
      </w:r>
      <w:r w:rsidR="006D3A7F">
        <w:rPr>
          <w:rFonts w:ascii="Times New Roman" w:hAnsi="Times New Roman"/>
          <w:lang w:val="en-US"/>
        </w:rPr>
        <w:t xml:space="preserve"> legal obligation to do so. </w:t>
      </w:r>
      <w:r w:rsidR="00ED402D">
        <w:rPr>
          <w:rFonts w:ascii="Times New Roman" w:hAnsi="Times New Roman"/>
          <w:lang w:val="en-US"/>
        </w:rPr>
        <w:t>The</w:t>
      </w:r>
      <w:r w:rsidR="006D3A7F">
        <w:rPr>
          <w:rFonts w:ascii="Times New Roman" w:hAnsi="Times New Roman"/>
          <w:lang w:val="en-US"/>
        </w:rPr>
        <w:t xml:space="preserve"> establishment of groups </w:t>
      </w:r>
      <w:r w:rsidR="00ED402D">
        <w:rPr>
          <w:rFonts w:ascii="Times New Roman" w:hAnsi="Times New Roman"/>
          <w:lang w:val="en-US"/>
        </w:rPr>
        <w:t xml:space="preserve">also </w:t>
      </w:r>
      <w:r w:rsidR="006D3A7F">
        <w:rPr>
          <w:rFonts w:ascii="Times New Roman" w:hAnsi="Times New Roman"/>
          <w:lang w:val="en-US"/>
        </w:rPr>
        <w:t>may not be arbitrary in this respect. This</w:t>
      </w:r>
      <w:r w:rsidR="00ED402D">
        <w:rPr>
          <w:rFonts w:ascii="Times New Roman" w:hAnsi="Times New Roman"/>
          <w:lang w:val="en-US"/>
        </w:rPr>
        <w:t xml:space="preserve"> particularly</w:t>
      </w:r>
      <w:r w:rsidR="006D3A7F">
        <w:rPr>
          <w:rFonts w:ascii="Times New Roman" w:hAnsi="Times New Roman"/>
          <w:lang w:val="en-US"/>
        </w:rPr>
        <w:t xml:space="preserve"> includes fringe benefits such as bonuses or voluntary increase of actual renumeration in order to compensate for cost-of-living.</w:t>
      </w:r>
    </w:p>
    <w:p w14:paraId="4FF7E1CB" w14:textId="1C41C6E1" w:rsidR="006D3A7F" w:rsidRPr="00325D9B" w:rsidRDefault="006D3A7F" w:rsidP="00082685">
      <w:pPr>
        <w:spacing w:before="120" w:after="120"/>
        <w:jc w:val="both"/>
        <w:rPr>
          <w:rFonts w:ascii="Times New Roman" w:hAnsi="Times New Roman"/>
          <w:b/>
          <w:bCs/>
          <w:lang w:val="en-US"/>
        </w:rPr>
      </w:pPr>
      <w:r w:rsidRPr="00325D9B">
        <w:rPr>
          <w:rFonts w:ascii="Times New Roman" w:hAnsi="Times New Roman"/>
          <w:b/>
          <w:bCs/>
          <w:lang w:val="en-US"/>
        </w:rPr>
        <w:t>IV. Compensation in the community of heirs</w:t>
      </w:r>
    </w:p>
    <w:p w14:paraId="227772D7" w14:textId="05A43696" w:rsidR="006D3A7F" w:rsidRDefault="006D3A7F" w:rsidP="00082685">
      <w:pPr>
        <w:spacing w:before="120" w:after="120"/>
        <w:jc w:val="both"/>
        <w:rPr>
          <w:rFonts w:ascii="Times New Roman" w:hAnsi="Times New Roman"/>
          <w:lang w:val="en-US"/>
        </w:rPr>
      </w:pPr>
      <w:r>
        <w:rPr>
          <w:rFonts w:ascii="Times New Roman" w:hAnsi="Times New Roman" w:cs="Times New Roman"/>
          <w:lang w:val="en-US"/>
        </w:rPr>
        <w:t xml:space="preserve">Under the law, equality ultimately includes reconciliation in order to achieve equal treatment or justify unequal treatment. </w:t>
      </w:r>
      <w:r w:rsidR="000D3554">
        <w:rPr>
          <w:rFonts w:ascii="Times New Roman" w:hAnsi="Times New Roman" w:cs="Times New Roman"/>
          <w:lang w:val="en-US"/>
        </w:rPr>
        <w:t xml:space="preserve">A look at the </w:t>
      </w:r>
      <w:r w:rsidR="000D3554" w:rsidRPr="000D3554">
        <w:rPr>
          <w:rFonts w:ascii="Times New Roman" w:hAnsi="Times New Roman"/>
          <w:i/>
          <w:iCs/>
          <w:lang w:val="en-US"/>
        </w:rPr>
        <w:t xml:space="preserve">societas hereditatis </w:t>
      </w:r>
      <w:r w:rsidR="000D3554" w:rsidRPr="000D3554">
        <w:rPr>
          <w:rFonts w:ascii="Times New Roman" w:hAnsi="Times New Roman"/>
          <w:lang w:val="en-US"/>
        </w:rPr>
        <w:t>can confirm this: Coheirs under the meaning of § 2032 BGB</w:t>
      </w:r>
      <w:r w:rsidR="000D3554">
        <w:rPr>
          <w:rFonts w:ascii="Times New Roman" w:hAnsi="Times New Roman"/>
          <w:lang w:val="en-US"/>
        </w:rPr>
        <w:t xml:space="preserve"> are only the actual heirs actually entitled in the line of succession</w:t>
      </w:r>
      <w:r w:rsidR="00ED402D">
        <w:rPr>
          <w:rFonts w:ascii="Times New Roman" w:hAnsi="Times New Roman"/>
          <w:lang w:val="en-US"/>
        </w:rPr>
        <w:t>;</w:t>
      </w:r>
      <w:r w:rsidR="000D3554">
        <w:rPr>
          <w:rFonts w:ascii="Times New Roman" w:hAnsi="Times New Roman"/>
          <w:lang w:val="en-US"/>
        </w:rPr>
        <w:t xml:space="preserve"> therefore persons who will not inherit on the grounds of disinheritance (</w:t>
      </w:r>
      <w:r w:rsidR="000D3554" w:rsidRPr="000D3554">
        <w:rPr>
          <w:rFonts w:ascii="Times New Roman" w:hAnsi="Times New Roman"/>
          <w:lang w:val="en-US"/>
        </w:rPr>
        <w:t>§</w:t>
      </w:r>
      <w:r w:rsidR="000D3554">
        <w:rPr>
          <w:rFonts w:ascii="Times New Roman" w:hAnsi="Times New Roman"/>
          <w:lang w:val="en-US"/>
        </w:rPr>
        <w:t xml:space="preserve"> 1938), disclaim (</w:t>
      </w:r>
      <w:r w:rsidR="000D3554" w:rsidRPr="000D3554">
        <w:rPr>
          <w:rFonts w:ascii="Times New Roman" w:hAnsi="Times New Roman"/>
          <w:lang w:val="en-US"/>
        </w:rPr>
        <w:t>§</w:t>
      </w:r>
      <w:r w:rsidR="000D3554">
        <w:rPr>
          <w:rFonts w:ascii="Times New Roman" w:hAnsi="Times New Roman"/>
          <w:lang w:val="en-US"/>
        </w:rPr>
        <w:t xml:space="preserve"> 1953), debarment from succession (</w:t>
      </w:r>
      <w:r w:rsidR="000D3554" w:rsidRPr="000D3554">
        <w:rPr>
          <w:rFonts w:ascii="Times New Roman" w:hAnsi="Times New Roman"/>
          <w:lang w:val="en-US"/>
        </w:rPr>
        <w:t>§</w:t>
      </w:r>
      <w:r w:rsidR="000D3554">
        <w:rPr>
          <w:rFonts w:ascii="Times New Roman" w:hAnsi="Times New Roman"/>
          <w:lang w:val="en-US"/>
        </w:rPr>
        <w:t xml:space="preserve"> 2344), or renunciation of inheritance (</w:t>
      </w:r>
      <w:r w:rsidR="000D3554" w:rsidRPr="000D3554">
        <w:rPr>
          <w:rFonts w:ascii="Times New Roman" w:hAnsi="Times New Roman"/>
          <w:lang w:val="en-US"/>
        </w:rPr>
        <w:t>§</w:t>
      </w:r>
      <w:r w:rsidR="000D3554">
        <w:rPr>
          <w:rFonts w:ascii="Times New Roman" w:hAnsi="Times New Roman"/>
          <w:lang w:val="en-US"/>
        </w:rPr>
        <w:t xml:space="preserve"> 2346)</w:t>
      </w:r>
      <w:r w:rsidR="00ED402D">
        <w:rPr>
          <w:rFonts w:ascii="Times New Roman" w:hAnsi="Times New Roman"/>
          <w:lang w:val="en-US"/>
        </w:rPr>
        <w:t xml:space="preserve"> are not included</w:t>
      </w:r>
      <w:r w:rsidR="000D3554">
        <w:rPr>
          <w:rFonts w:ascii="Times New Roman" w:hAnsi="Times New Roman"/>
          <w:lang w:val="en-US"/>
        </w:rPr>
        <w:t xml:space="preserve">. Through the </w:t>
      </w:r>
      <w:r w:rsidR="00ED402D">
        <w:rPr>
          <w:rFonts w:ascii="Times New Roman" w:hAnsi="Times New Roman"/>
          <w:lang w:val="en-US"/>
        </w:rPr>
        <w:t>S</w:t>
      </w:r>
      <w:r w:rsidR="000D3554">
        <w:rPr>
          <w:rFonts w:ascii="Times New Roman" w:hAnsi="Times New Roman"/>
          <w:lang w:val="en-US"/>
        </w:rPr>
        <w:t xml:space="preserve">uccession </w:t>
      </w:r>
      <w:r w:rsidR="00ED402D">
        <w:rPr>
          <w:rFonts w:ascii="Times New Roman" w:hAnsi="Times New Roman"/>
          <w:lang w:val="en-US"/>
        </w:rPr>
        <w:t>E</w:t>
      </w:r>
      <w:r w:rsidR="000D3554">
        <w:rPr>
          <w:rFonts w:ascii="Times New Roman" w:hAnsi="Times New Roman"/>
          <w:lang w:val="en-US"/>
        </w:rPr>
        <w:t xml:space="preserve">quality </w:t>
      </w:r>
      <w:r w:rsidR="00ED402D">
        <w:rPr>
          <w:rFonts w:ascii="Times New Roman" w:hAnsi="Times New Roman"/>
          <w:lang w:val="en-US"/>
        </w:rPr>
        <w:t>A</w:t>
      </w:r>
      <w:r w:rsidR="000D3554">
        <w:rPr>
          <w:rFonts w:ascii="Times New Roman" w:hAnsi="Times New Roman"/>
          <w:lang w:val="en-US"/>
        </w:rPr>
        <w:t>ct of December 16, 1997 (</w:t>
      </w:r>
      <w:r w:rsidR="00963008">
        <w:rPr>
          <w:rFonts w:ascii="Times New Roman" w:hAnsi="Times New Roman"/>
          <w:lang w:val="en-US"/>
        </w:rPr>
        <w:t>Federal Law G</w:t>
      </w:r>
      <w:r w:rsidR="00C41093">
        <w:rPr>
          <w:rFonts w:ascii="Times New Roman" w:hAnsi="Times New Roman"/>
          <w:lang w:val="en-US"/>
        </w:rPr>
        <w:t>azette</w:t>
      </w:r>
      <w:r w:rsidR="000D3554" w:rsidRPr="000D3554">
        <w:rPr>
          <w:rFonts w:ascii="Times New Roman" w:hAnsi="Times New Roman"/>
          <w:lang w:val="en-US"/>
        </w:rPr>
        <w:t xml:space="preserve"> 1997 I 2968), the special pro</w:t>
      </w:r>
      <w:r w:rsidR="000D3554">
        <w:rPr>
          <w:rFonts w:ascii="Times New Roman" w:hAnsi="Times New Roman"/>
          <w:lang w:val="en-US"/>
        </w:rPr>
        <w:t xml:space="preserve">visions in </w:t>
      </w:r>
      <w:r w:rsidR="000D3554" w:rsidRPr="000D3554">
        <w:rPr>
          <w:rFonts w:ascii="Times New Roman" w:hAnsi="Times New Roman"/>
          <w:lang w:val="en-US"/>
        </w:rPr>
        <w:t xml:space="preserve">§§ 1934a–1934e </w:t>
      </w:r>
      <w:r w:rsidR="00963008">
        <w:rPr>
          <w:rFonts w:ascii="Times New Roman" w:hAnsi="Times New Roman"/>
          <w:lang w:val="en-US"/>
        </w:rPr>
        <w:t>BGB</w:t>
      </w:r>
      <w:r w:rsidR="000D3554">
        <w:rPr>
          <w:rFonts w:ascii="Times New Roman" w:hAnsi="Times New Roman"/>
          <w:lang w:val="en-US"/>
        </w:rPr>
        <w:t xml:space="preserve"> were discarded without replacement. Upon the death of the father (and vice versa for the father and his </w:t>
      </w:r>
      <w:r w:rsidR="00325D9B">
        <w:rPr>
          <w:rFonts w:ascii="Times New Roman" w:hAnsi="Times New Roman"/>
          <w:lang w:val="en-US"/>
        </w:rPr>
        <w:t>descendants</w:t>
      </w:r>
      <w:r w:rsidR="000D3554">
        <w:rPr>
          <w:rFonts w:ascii="Times New Roman" w:hAnsi="Times New Roman"/>
          <w:lang w:val="en-US"/>
        </w:rPr>
        <w:t xml:space="preserve"> </w:t>
      </w:r>
      <w:r w:rsidR="00325D9B">
        <w:rPr>
          <w:rFonts w:ascii="Times New Roman" w:hAnsi="Times New Roman"/>
          <w:lang w:val="en-US"/>
        </w:rPr>
        <w:t xml:space="preserve">upon the death of a child) </w:t>
      </w:r>
      <w:r w:rsidR="000D3554">
        <w:rPr>
          <w:rFonts w:ascii="Times New Roman" w:hAnsi="Times New Roman"/>
          <w:lang w:val="en-US"/>
        </w:rPr>
        <w:t xml:space="preserve">Illegitimate children and their </w:t>
      </w:r>
      <w:r w:rsidR="00325D9B">
        <w:rPr>
          <w:rFonts w:ascii="Times New Roman" w:hAnsi="Times New Roman"/>
          <w:lang w:val="en-US"/>
        </w:rPr>
        <w:t>descendants</w:t>
      </w:r>
      <w:r w:rsidR="000D3554">
        <w:rPr>
          <w:rFonts w:ascii="Times New Roman" w:hAnsi="Times New Roman"/>
          <w:lang w:val="en-US"/>
        </w:rPr>
        <w:t xml:space="preserve"> could</w:t>
      </w:r>
      <w:r w:rsidR="00ED402D">
        <w:rPr>
          <w:rFonts w:ascii="Times New Roman" w:hAnsi="Times New Roman"/>
          <w:lang w:val="en-US"/>
        </w:rPr>
        <w:t xml:space="preserve"> </w:t>
      </w:r>
      <w:r w:rsidR="000D3554">
        <w:rPr>
          <w:rFonts w:ascii="Times New Roman" w:hAnsi="Times New Roman"/>
          <w:lang w:val="en-US"/>
        </w:rPr>
        <w:t>also be considered legal heirs and members of a community of heirs</w:t>
      </w:r>
      <w:r w:rsidR="00325D9B">
        <w:rPr>
          <w:rFonts w:ascii="Times New Roman" w:hAnsi="Times New Roman"/>
          <w:lang w:val="en-US"/>
        </w:rPr>
        <w:t>, meaning they could sit at the heirs’ table as equals before the law.</w:t>
      </w:r>
    </w:p>
    <w:p w14:paraId="37068DF0" w14:textId="037C4D6A" w:rsidR="00325D9B" w:rsidRDefault="00325D9B" w:rsidP="00082685">
      <w:pPr>
        <w:spacing w:before="120" w:after="120"/>
        <w:jc w:val="both"/>
        <w:rPr>
          <w:rFonts w:ascii="Times New Roman" w:hAnsi="Times New Roman"/>
          <w:lang w:val="en-US"/>
        </w:rPr>
      </w:pPr>
      <w:r>
        <w:rPr>
          <w:rFonts w:ascii="Times New Roman" w:hAnsi="Times New Roman"/>
          <w:lang w:val="en-US"/>
        </w:rPr>
        <w:t xml:space="preserve">In the event of multiple heirs, the interests of the creditors of the estate, those of the individual coheirs as well as the various affairs they have </w:t>
      </w:r>
      <w:r w:rsidR="00ED402D">
        <w:rPr>
          <w:rFonts w:ascii="Times New Roman" w:hAnsi="Times New Roman"/>
          <w:lang w:val="en-US"/>
        </w:rPr>
        <w:t>between</w:t>
      </w:r>
      <w:r>
        <w:rPr>
          <w:rFonts w:ascii="Times New Roman" w:hAnsi="Times New Roman"/>
          <w:lang w:val="en-US"/>
        </w:rPr>
        <w:t xml:space="preserve"> one another may be </w:t>
      </w:r>
      <w:r w:rsidR="00ED402D">
        <w:rPr>
          <w:rFonts w:ascii="Times New Roman" w:hAnsi="Times New Roman"/>
          <w:lang w:val="en-US"/>
        </w:rPr>
        <w:t xml:space="preserve">conflicting. </w:t>
      </w:r>
      <w:r>
        <w:rPr>
          <w:rFonts w:ascii="Times New Roman" w:hAnsi="Times New Roman"/>
          <w:lang w:val="en-US"/>
        </w:rPr>
        <w:t>The creditors of the estate would like to be satisfied from the undivided estate so that they are not confronted with an army of default</w:t>
      </w:r>
      <w:r w:rsidR="00ED402D">
        <w:rPr>
          <w:rFonts w:ascii="Times New Roman" w:hAnsi="Times New Roman"/>
          <w:lang w:val="en-US"/>
        </w:rPr>
        <w:t>er</w:t>
      </w:r>
      <w:r>
        <w:rPr>
          <w:rFonts w:ascii="Times New Roman" w:hAnsi="Times New Roman"/>
          <w:lang w:val="en-US"/>
        </w:rPr>
        <w:t xml:space="preserve">s once the recoverable assets have been divided up. Coheirs either </w:t>
      </w:r>
      <w:r w:rsidR="00ED402D">
        <w:rPr>
          <w:rFonts w:ascii="Times New Roman" w:hAnsi="Times New Roman"/>
          <w:lang w:val="en-US"/>
        </w:rPr>
        <w:t>push</w:t>
      </w:r>
      <w:r>
        <w:rPr>
          <w:rFonts w:ascii="Times New Roman" w:hAnsi="Times New Roman"/>
          <w:lang w:val="en-US"/>
        </w:rPr>
        <w:t xml:space="preserve"> for the assets to be divided up as quickly as possible in order be able to dispose over the value of their allocation</w:t>
      </w:r>
      <w:r w:rsidR="00ED402D">
        <w:rPr>
          <w:rFonts w:ascii="Times New Roman" w:hAnsi="Times New Roman"/>
          <w:lang w:val="en-US"/>
        </w:rPr>
        <w:t xml:space="preserve"> or </w:t>
      </w:r>
      <w:r w:rsidR="00177841">
        <w:rPr>
          <w:rFonts w:ascii="Times New Roman" w:hAnsi="Times New Roman"/>
          <w:lang w:val="en-US"/>
        </w:rPr>
        <w:t>to obtain the entirety of the estate</w:t>
      </w:r>
      <w:r w:rsidR="00ED402D">
        <w:rPr>
          <w:rFonts w:ascii="Times New Roman" w:hAnsi="Times New Roman"/>
          <w:lang w:val="en-US"/>
        </w:rPr>
        <w:t xml:space="preserve"> for themselves</w:t>
      </w:r>
      <w:r w:rsidR="00177841">
        <w:rPr>
          <w:rFonts w:ascii="Times New Roman" w:hAnsi="Times New Roman"/>
          <w:lang w:val="en-US"/>
        </w:rPr>
        <w:t xml:space="preserve"> e.g. owing to a strong family connection; the latter aspect can also be sensible from an economic standpoint. Within the community, there is the necessity that all members participate in the management; at the same time, the community may not be impeded by the special requests o</w:t>
      </w:r>
      <w:r w:rsidR="00ED402D">
        <w:rPr>
          <w:rFonts w:ascii="Times New Roman" w:hAnsi="Times New Roman"/>
          <w:lang w:val="en-US"/>
        </w:rPr>
        <w:t>f</w:t>
      </w:r>
      <w:r w:rsidR="00177841">
        <w:rPr>
          <w:rFonts w:ascii="Times New Roman" w:hAnsi="Times New Roman"/>
          <w:lang w:val="en-US"/>
        </w:rPr>
        <w:t xml:space="preserve"> a single heir. Insofar as individual coheirs are entitled to claims against the estate or equalization claim, their interests correspond to those of the </w:t>
      </w:r>
      <w:r w:rsidR="00DB36E6">
        <w:rPr>
          <w:rFonts w:ascii="Times New Roman" w:hAnsi="Times New Roman"/>
          <w:lang w:val="en-US"/>
        </w:rPr>
        <w:t>creditors of the estate to a large extent.</w:t>
      </w:r>
    </w:p>
    <w:p w14:paraId="04907256" w14:textId="52B2A0BE" w:rsidR="00DB36E6" w:rsidRDefault="00DB36E6" w:rsidP="00082685">
      <w:pPr>
        <w:spacing w:before="120" w:after="120"/>
        <w:jc w:val="both"/>
        <w:rPr>
          <w:rFonts w:ascii="Times New Roman" w:hAnsi="Times New Roman"/>
          <w:lang w:val="en-US"/>
        </w:rPr>
      </w:pPr>
      <w:r>
        <w:rPr>
          <w:rFonts w:ascii="Times New Roman" w:hAnsi="Times New Roman"/>
          <w:lang w:val="en-US"/>
        </w:rPr>
        <w:t>It is the task of the legislator to manage the multiplicity in different constellations of interests, as this has great significance for the interpretation of legal provisions for a community of heirs – as well as for the entire system of regulations in the wake of an observed legal unity.</w:t>
      </w:r>
    </w:p>
    <w:p w14:paraId="5181D125" w14:textId="2D56901A" w:rsidR="00DF66DC" w:rsidRDefault="00DF66DC" w:rsidP="00082685">
      <w:pPr>
        <w:spacing w:before="120" w:after="120"/>
        <w:jc w:val="both"/>
        <w:rPr>
          <w:rFonts w:ascii="Times New Roman" w:hAnsi="Times New Roman"/>
          <w:b/>
          <w:bCs/>
        </w:rPr>
      </w:pPr>
      <w:r>
        <w:rPr>
          <w:rFonts w:ascii="Times New Roman" w:hAnsi="Times New Roman"/>
          <w:b/>
          <w:bCs/>
        </w:rPr>
        <w:t>V. Publications</w:t>
      </w:r>
    </w:p>
    <w:p w14:paraId="7C41599F" w14:textId="1E240C05" w:rsidR="00DF66DC" w:rsidRDefault="00DF66DC" w:rsidP="00082685">
      <w:pPr>
        <w:spacing w:before="120" w:after="120"/>
        <w:jc w:val="both"/>
        <w:rPr>
          <w:rFonts w:ascii="Times New Roman" w:hAnsi="Times New Roman"/>
        </w:rPr>
      </w:pPr>
      <w:r>
        <w:rPr>
          <w:rFonts w:ascii="Times New Roman" w:hAnsi="Times New Roman"/>
        </w:rPr>
        <w:t>Diederichsen, Die Selbstbehauptung des Privatrechts gegenüber dem Grundgesetz. In: JURA 2/1997, pp. 57-64.</w:t>
      </w:r>
    </w:p>
    <w:p w14:paraId="72181927" w14:textId="42F8D8CF" w:rsidR="00DF66DC" w:rsidRDefault="00DF66DC" w:rsidP="00082685">
      <w:pPr>
        <w:spacing w:before="120" w:after="120"/>
        <w:jc w:val="both"/>
        <w:rPr>
          <w:rFonts w:ascii="Times New Roman" w:hAnsi="Times New Roman"/>
        </w:rPr>
      </w:pPr>
      <w:r>
        <w:rPr>
          <w:rFonts w:ascii="Times New Roman" w:hAnsi="Times New Roman"/>
        </w:rPr>
        <w:t>Di Fabio, Grundrechte als Werteordnung. In: JZ 59 (2004), pp. 1-8.</w:t>
      </w:r>
    </w:p>
    <w:p w14:paraId="2189D8B1" w14:textId="4B82FFE9" w:rsidR="00DF66DC" w:rsidRDefault="00DF66DC" w:rsidP="00082685">
      <w:pPr>
        <w:spacing w:before="120" w:after="120"/>
        <w:jc w:val="both"/>
        <w:rPr>
          <w:rFonts w:ascii="Times New Roman" w:hAnsi="Times New Roman"/>
        </w:rPr>
      </w:pPr>
      <w:r>
        <w:rPr>
          <w:rFonts w:ascii="Times New Roman" w:hAnsi="Times New Roman"/>
        </w:rPr>
        <w:t>Erichsen, Die Drittwirkung der Grundrechte. In: JURA 10/1996, pp. 527-533.</w:t>
      </w:r>
    </w:p>
    <w:p w14:paraId="404ACAF4" w14:textId="77777777" w:rsidR="00DF66DC" w:rsidRDefault="00DF66DC" w:rsidP="00082685">
      <w:pPr>
        <w:spacing w:before="120" w:after="120"/>
        <w:jc w:val="both"/>
        <w:rPr>
          <w:rFonts w:ascii="Times New Roman" w:hAnsi="Times New Roman"/>
        </w:rPr>
      </w:pPr>
      <w:r>
        <w:rPr>
          <w:rFonts w:ascii="Times New Roman" w:hAnsi="Times New Roman"/>
        </w:rPr>
        <w:lastRenderedPageBreak/>
        <w:t>Gergen, Kommentierung zu §§ 2032 BGB (Erbengemeinschaft). In: Münchener Kommentar-BGB, 9. Aufl., München 2021.</w:t>
      </w:r>
    </w:p>
    <w:p w14:paraId="1058C584" w14:textId="17A71107" w:rsidR="00DF66DC" w:rsidRDefault="00DF66DC" w:rsidP="00082685">
      <w:pPr>
        <w:spacing w:before="120" w:after="120"/>
        <w:jc w:val="both"/>
        <w:rPr>
          <w:rFonts w:ascii="Times New Roman" w:hAnsi="Times New Roman"/>
        </w:rPr>
      </w:pPr>
      <w:r>
        <w:rPr>
          <w:rFonts w:ascii="Times New Roman" w:hAnsi="Times New Roman"/>
        </w:rPr>
        <w:t>Isensee, Grundrechte und Demokratie. Die polare Legitimation im grundgesetzlichen Gemeinwesen. In: Der Staat 2/1981, pp. 161-176.</w:t>
      </w:r>
    </w:p>
    <w:p w14:paraId="389E0862" w14:textId="663240BC" w:rsidR="00DF66DC" w:rsidRDefault="00DF66DC" w:rsidP="00082685">
      <w:pPr>
        <w:spacing w:before="120" w:after="120"/>
        <w:jc w:val="both"/>
        <w:rPr>
          <w:rFonts w:ascii="Times New Roman" w:hAnsi="Times New Roman"/>
        </w:rPr>
      </w:pPr>
      <w:r>
        <w:rPr>
          <w:rFonts w:ascii="Times New Roman" w:hAnsi="Times New Roman"/>
        </w:rPr>
        <w:t xml:space="preserve">Isensee, Menschenrechte, Staatsordnung, sittliche Autonomie: Gestalt der menschenrechtlichen Freiheit im Verfassungsstaat. In: Modernes Freiheitsethos und christlicher Glaube: Beiträge zur juristischen, philosophischen und theologischen Bestimmung der Menschenrechte, München/Mainz 1981, pp. 70-103. </w:t>
      </w:r>
    </w:p>
    <w:p w14:paraId="21B4709E" w14:textId="74F7B038" w:rsidR="00DF66DC" w:rsidRDefault="00DF66DC" w:rsidP="00082685">
      <w:pPr>
        <w:spacing w:before="120" w:after="120"/>
        <w:jc w:val="both"/>
        <w:rPr>
          <w:rFonts w:ascii="Times New Roman" w:hAnsi="Times New Roman"/>
        </w:rPr>
      </w:pPr>
      <w:r>
        <w:rPr>
          <w:rFonts w:ascii="Times New Roman" w:hAnsi="Times New Roman"/>
        </w:rPr>
        <w:t>Klippel, Naturrecht und Rechtsphilosophie in der ersten Hälfte des 19. Jahrhunderts. In: Dann/Klippel, Naturrecht-Spätaufklärung-Revolution, Hamburg 1989, pp. 270-292.</w:t>
      </w:r>
    </w:p>
    <w:p w14:paraId="22512F26" w14:textId="77777777" w:rsidR="00DF66DC" w:rsidRDefault="00DF66DC" w:rsidP="00082685">
      <w:pPr>
        <w:spacing w:before="120" w:after="120"/>
        <w:jc w:val="both"/>
        <w:rPr>
          <w:rFonts w:ascii="Times New Roman" w:hAnsi="Times New Roman"/>
        </w:rPr>
      </w:pPr>
      <w:r>
        <w:rPr>
          <w:rFonts w:ascii="Times New Roman" w:hAnsi="Times New Roman"/>
        </w:rPr>
        <w:t>Leibholz, Neues deutsches Verfassungsrecht, Bad Homburg v.d. Höhe 1960.</w:t>
      </w:r>
    </w:p>
    <w:p w14:paraId="1F8A7ECD" w14:textId="538AC133" w:rsidR="00DF66DC" w:rsidRDefault="00DF66DC" w:rsidP="00082685">
      <w:pPr>
        <w:spacing w:before="120" w:after="120"/>
        <w:jc w:val="both"/>
        <w:rPr>
          <w:rFonts w:ascii="Times New Roman" w:hAnsi="Times New Roman"/>
        </w:rPr>
      </w:pPr>
      <w:r>
        <w:rPr>
          <w:rFonts w:ascii="Times New Roman" w:hAnsi="Times New Roman"/>
        </w:rPr>
        <w:t>Limbach, Das BVerfG und der Grundrechtsschutz in Europa. In: NJW 40/2001, pp. 2913-2919.</w:t>
      </w:r>
    </w:p>
    <w:p w14:paraId="1F2F4894" w14:textId="77777777" w:rsidR="00DF66DC" w:rsidRDefault="00DF66DC" w:rsidP="00082685">
      <w:pPr>
        <w:spacing w:before="120" w:after="120"/>
        <w:jc w:val="both"/>
        <w:rPr>
          <w:rFonts w:ascii="Times New Roman" w:hAnsi="Times New Roman"/>
        </w:rPr>
      </w:pPr>
      <w:r>
        <w:rPr>
          <w:rFonts w:ascii="Times New Roman" w:hAnsi="Times New Roman"/>
        </w:rPr>
        <w:t>Luhmann, Grundrechte als Institution. Ein Beitrag zur politischen Soziologie, Berlin 1965 (Schriften zum öffentlichen Recht 24).</w:t>
      </w:r>
    </w:p>
    <w:p w14:paraId="740021E4" w14:textId="0BF6F67A" w:rsidR="00DF66DC" w:rsidRDefault="00DF66DC" w:rsidP="00082685">
      <w:pPr>
        <w:spacing w:before="120" w:after="120"/>
        <w:jc w:val="both"/>
        <w:rPr>
          <w:rFonts w:ascii="Times New Roman" w:hAnsi="Times New Roman"/>
        </w:rPr>
      </w:pPr>
      <w:r>
        <w:rPr>
          <w:rFonts w:ascii="Times New Roman" w:hAnsi="Times New Roman"/>
        </w:rPr>
        <w:t>Radbruch, Rechtsphilosophie, 8th edition, Stuttgart 1978.</w:t>
      </w:r>
    </w:p>
    <w:p w14:paraId="442116A6" w14:textId="77777777" w:rsidR="00DF66DC" w:rsidRDefault="00DF66DC" w:rsidP="00082685">
      <w:pPr>
        <w:spacing w:before="120" w:after="120"/>
        <w:jc w:val="both"/>
        <w:rPr>
          <w:rFonts w:ascii="Times New Roman" w:hAnsi="Times New Roman"/>
        </w:rPr>
      </w:pPr>
      <w:r>
        <w:rPr>
          <w:rFonts w:ascii="Times New Roman" w:hAnsi="Times New Roman"/>
        </w:rPr>
        <w:t>Zippelius, Wertungsprobleme im System der Grundrechte, München 1962.</w:t>
      </w:r>
    </w:p>
    <w:sectPr w:rsidR="00DF66DC" w:rsidSect="00082685">
      <w:pgSz w:w="11906" w:h="16838"/>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F8"/>
    <w:rsid w:val="00047DD3"/>
    <w:rsid w:val="00060A06"/>
    <w:rsid w:val="00082685"/>
    <w:rsid w:val="000D3554"/>
    <w:rsid w:val="00177841"/>
    <w:rsid w:val="00246F8A"/>
    <w:rsid w:val="00262946"/>
    <w:rsid w:val="002637C9"/>
    <w:rsid w:val="00311C1E"/>
    <w:rsid w:val="00325D9B"/>
    <w:rsid w:val="003B78B7"/>
    <w:rsid w:val="004D10F2"/>
    <w:rsid w:val="00551D4B"/>
    <w:rsid w:val="00670086"/>
    <w:rsid w:val="00695EF6"/>
    <w:rsid w:val="006C2771"/>
    <w:rsid w:val="006D3A7F"/>
    <w:rsid w:val="007132F8"/>
    <w:rsid w:val="00807933"/>
    <w:rsid w:val="00825DD9"/>
    <w:rsid w:val="00853CB7"/>
    <w:rsid w:val="008713EC"/>
    <w:rsid w:val="00890FF2"/>
    <w:rsid w:val="008D3835"/>
    <w:rsid w:val="009025FB"/>
    <w:rsid w:val="00963008"/>
    <w:rsid w:val="00A17EC8"/>
    <w:rsid w:val="00B42AE2"/>
    <w:rsid w:val="00C41093"/>
    <w:rsid w:val="00D4790F"/>
    <w:rsid w:val="00D94308"/>
    <w:rsid w:val="00DB36E6"/>
    <w:rsid w:val="00DF66DC"/>
    <w:rsid w:val="00E37A12"/>
    <w:rsid w:val="00ED402D"/>
    <w:rsid w:val="00F0303B"/>
    <w:rsid w:val="00F4693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F93FB"/>
  <w15:chartTrackingRefBased/>
  <w15:docId w15:val="{40BAB7D6-56AD-8A48-AE6B-BADC07DA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7132F8"/>
    <w:rPr>
      <w:sz w:val="16"/>
      <w:szCs w:val="16"/>
    </w:rPr>
  </w:style>
  <w:style w:type="paragraph" w:styleId="Kommentartext">
    <w:name w:val="annotation text"/>
    <w:basedOn w:val="Standard"/>
    <w:link w:val="KommentartextZchn"/>
    <w:uiPriority w:val="99"/>
    <w:semiHidden/>
    <w:unhideWhenUsed/>
    <w:rsid w:val="007132F8"/>
    <w:rPr>
      <w:sz w:val="20"/>
      <w:szCs w:val="20"/>
    </w:rPr>
  </w:style>
  <w:style w:type="character" w:customStyle="1" w:styleId="KommentartextZchn">
    <w:name w:val="Kommentartext Zchn"/>
    <w:basedOn w:val="Absatz-Standardschriftart"/>
    <w:link w:val="Kommentartext"/>
    <w:uiPriority w:val="99"/>
    <w:semiHidden/>
    <w:rsid w:val="007132F8"/>
    <w:rPr>
      <w:sz w:val="20"/>
      <w:szCs w:val="20"/>
    </w:rPr>
  </w:style>
  <w:style w:type="paragraph" w:styleId="Kommentarthema">
    <w:name w:val="annotation subject"/>
    <w:basedOn w:val="Kommentartext"/>
    <w:next w:val="Kommentartext"/>
    <w:link w:val="KommentarthemaZchn"/>
    <w:uiPriority w:val="99"/>
    <w:semiHidden/>
    <w:unhideWhenUsed/>
    <w:rsid w:val="007132F8"/>
    <w:rPr>
      <w:b/>
      <w:bCs/>
    </w:rPr>
  </w:style>
  <w:style w:type="character" w:customStyle="1" w:styleId="KommentarthemaZchn">
    <w:name w:val="Kommentarthema Zchn"/>
    <w:basedOn w:val="KommentartextZchn"/>
    <w:link w:val="Kommentarthema"/>
    <w:uiPriority w:val="99"/>
    <w:semiHidden/>
    <w:rsid w:val="007132F8"/>
    <w:rPr>
      <w:b/>
      <w:bCs/>
      <w:sz w:val="20"/>
      <w:szCs w:val="20"/>
    </w:rPr>
  </w:style>
  <w:style w:type="paragraph" w:styleId="Sprechblasentext">
    <w:name w:val="Balloon Text"/>
    <w:basedOn w:val="Standard"/>
    <w:link w:val="SprechblasentextZchn"/>
    <w:uiPriority w:val="99"/>
    <w:semiHidden/>
    <w:unhideWhenUsed/>
    <w:rsid w:val="007132F8"/>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7132F8"/>
    <w:rPr>
      <w:rFonts w:ascii="Times New Roman" w:hAnsi="Times New Roman" w:cs="Times New Roman"/>
      <w:sz w:val="18"/>
      <w:szCs w:val="18"/>
    </w:rPr>
  </w:style>
  <w:style w:type="paragraph" w:styleId="Listenabsatz">
    <w:name w:val="List Paragraph"/>
    <w:basedOn w:val="Standard"/>
    <w:uiPriority w:val="34"/>
    <w:qFormat/>
    <w:rsid w:val="007132F8"/>
    <w:pPr>
      <w:ind w:left="720"/>
      <w:contextualSpacing/>
    </w:pPr>
  </w:style>
  <w:style w:type="character" w:styleId="Zeilennummer">
    <w:name w:val="line number"/>
    <w:basedOn w:val="Absatz-Standardschriftart"/>
    <w:uiPriority w:val="99"/>
    <w:semiHidden/>
    <w:unhideWhenUsed/>
    <w:rsid w:val="00082685"/>
  </w:style>
  <w:style w:type="table" w:styleId="Tabellenraster">
    <w:name w:val="Table Grid"/>
    <w:basedOn w:val="NormaleTabelle"/>
    <w:uiPriority w:val="39"/>
    <w:rsid w:val="00082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2643">
      <w:bodyDiv w:val="1"/>
      <w:marLeft w:val="0"/>
      <w:marRight w:val="0"/>
      <w:marTop w:val="0"/>
      <w:marBottom w:val="0"/>
      <w:divBdr>
        <w:top w:val="none" w:sz="0" w:space="0" w:color="auto"/>
        <w:left w:val="none" w:sz="0" w:space="0" w:color="auto"/>
        <w:bottom w:val="none" w:sz="0" w:space="0" w:color="auto"/>
        <w:right w:val="none" w:sz="0" w:space="0" w:color="auto"/>
      </w:divBdr>
    </w:div>
    <w:div w:id="1152671245">
      <w:bodyDiv w:val="1"/>
      <w:marLeft w:val="0"/>
      <w:marRight w:val="0"/>
      <w:marTop w:val="0"/>
      <w:marBottom w:val="0"/>
      <w:divBdr>
        <w:top w:val="none" w:sz="0" w:space="0" w:color="auto"/>
        <w:left w:val="none" w:sz="0" w:space="0" w:color="auto"/>
        <w:bottom w:val="none" w:sz="0" w:space="0" w:color="auto"/>
        <w:right w:val="none" w:sz="0" w:space="0" w:color="auto"/>
      </w:divBdr>
    </w:div>
    <w:div w:id="160596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1802</Words>
  <Characters>11359</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Dr.Dr. Thomas Gergen</dc:creator>
  <cp:keywords/>
  <dc:description/>
  <cp:lastModifiedBy>Frederic Liu</cp:lastModifiedBy>
  <cp:revision>8</cp:revision>
  <dcterms:created xsi:type="dcterms:W3CDTF">2021-04-22T16:04:00Z</dcterms:created>
  <dcterms:modified xsi:type="dcterms:W3CDTF">2022-03-19T00:29:00Z</dcterms:modified>
</cp:coreProperties>
</file>