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9A52C" w14:textId="7B83B306" w:rsidR="004A2621" w:rsidRPr="0038005C" w:rsidRDefault="000075BC" w:rsidP="00A52F11">
      <w:pPr>
        <w:spacing w:before="120" w:after="120" w:line="240" w:lineRule="auto"/>
        <w:jc w:val="center"/>
        <w:rPr>
          <w:rFonts w:ascii="Times New Roman" w:hAnsi="Times New Roman" w:cs="Times New Roman"/>
          <w:b/>
          <w:bCs/>
          <w:sz w:val="32"/>
          <w:szCs w:val="32"/>
          <w:lang w:val="en-US" w:eastAsia="zh-CN"/>
        </w:rPr>
      </w:pPr>
      <w:bookmarkStart w:id="0" w:name="OLE_LINK1"/>
      <w:bookmarkStart w:id="1" w:name="OLE_LINK2"/>
      <w:bookmarkStart w:id="2" w:name="OLE_LINK3"/>
      <w:r>
        <w:rPr>
          <w:rFonts w:ascii="Times New Roman" w:hAnsi="Times New Roman" w:cs="Times New Roman"/>
          <w:b/>
          <w:bCs/>
          <w:sz w:val="32"/>
          <w:szCs w:val="32"/>
          <w:lang w:val="en-US"/>
        </w:rPr>
        <w:t>r</w:t>
      </w:r>
      <w:r w:rsidR="004A2621" w:rsidRPr="0038005C">
        <w:rPr>
          <w:rFonts w:ascii="Times New Roman" w:hAnsi="Times New Roman" w:cs="Times New Roman"/>
          <w:b/>
          <w:bCs/>
          <w:sz w:val="32"/>
          <w:szCs w:val="32"/>
          <w:lang w:val="en-US"/>
        </w:rPr>
        <w:t xml:space="preserve">ule of </w:t>
      </w:r>
      <w:r>
        <w:rPr>
          <w:rFonts w:ascii="Times New Roman" w:hAnsi="Times New Roman" w:cs="Times New Roman"/>
          <w:b/>
          <w:bCs/>
          <w:sz w:val="32"/>
          <w:szCs w:val="32"/>
          <w:lang w:val="en-US"/>
        </w:rPr>
        <w:t>l</w:t>
      </w:r>
      <w:r w:rsidR="004A2621" w:rsidRPr="0038005C">
        <w:rPr>
          <w:rFonts w:ascii="Times New Roman" w:hAnsi="Times New Roman" w:cs="Times New Roman"/>
          <w:b/>
          <w:bCs/>
          <w:sz w:val="32"/>
          <w:szCs w:val="32"/>
          <w:lang w:val="en-US"/>
        </w:rPr>
        <w:t>aw</w:t>
      </w:r>
      <w:r w:rsidR="0038005C" w:rsidRPr="0038005C">
        <w:rPr>
          <w:rFonts w:ascii="Times New Roman" w:hAnsi="Times New Roman" w:cs="Times New Roman"/>
          <w:b/>
          <w:bCs/>
          <w:sz w:val="32"/>
          <w:szCs w:val="32"/>
          <w:lang w:val="en-US"/>
        </w:rPr>
        <w:t>/</w:t>
      </w:r>
      <w:r w:rsidR="0038005C" w:rsidRPr="0038005C">
        <w:rPr>
          <w:rFonts w:ascii="Times New Roman" w:eastAsia="Microsoft YaHei" w:hAnsi="Times New Roman" w:cs="Times New Roman"/>
          <w:b/>
          <w:bCs/>
          <w:sz w:val="32"/>
          <w:szCs w:val="32"/>
          <w:lang w:val="en-US" w:eastAsia="zh-CN"/>
        </w:rPr>
        <w:t>法治</w:t>
      </w:r>
      <w:r w:rsidR="0038005C" w:rsidRPr="0038005C">
        <w:rPr>
          <w:rFonts w:ascii="Times New Roman" w:eastAsia="Microsoft YaHei" w:hAnsi="Times New Roman" w:cs="Times New Roman"/>
          <w:b/>
          <w:bCs/>
          <w:sz w:val="32"/>
          <w:szCs w:val="32"/>
          <w:lang w:val="en-US" w:eastAsia="zh-CN"/>
        </w:rPr>
        <w:t>(</w:t>
      </w:r>
      <w:proofErr w:type="spellStart"/>
      <w:r w:rsidR="0038005C" w:rsidRPr="0038005C">
        <w:rPr>
          <w:rFonts w:ascii="Times New Roman" w:eastAsia="Microsoft YaHei" w:hAnsi="Times New Roman" w:cs="Times New Roman"/>
          <w:b/>
          <w:bCs/>
          <w:sz w:val="32"/>
          <w:szCs w:val="32"/>
          <w:lang w:val="en-US" w:eastAsia="zh-CN"/>
        </w:rPr>
        <w:t>Fǎ</w:t>
      </w:r>
      <w:proofErr w:type="spellEnd"/>
      <w:r w:rsidR="0038005C" w:rsidRPr="0038005C">
        <w:rPr>
          <w:rFonts w:ascii="Times New Roman" w:eastAsia="Microsoft YaHei" w:hAnsi="Times New Roman" w:cs="Times New Roman"/>
          <w:b/>
          <w:bCs/>
          <w:sz w:val="32"/>
          <w:szCs w:val="32"/>
          <w:lang w:val="en-US" w:eastAsia="zh-CN"/>
        </w:rPr>
        <w:t xml:space="preserve"> </w:t>
      </w:r>
      <w:proofErr w:type="spellStart"/>
      <w:r w:rsidR="0038005C" w:rsidRPr="0038005C">
        <w:rPr>
          <w:rFonts w:ascii="Times New Roman" w:eastAsia="Microsoft YaHei" w:hAnsi="Times New Roman" w:cs="Times New Roman"/>
          <w:b/>
          <w:bCs/>
          <w:sz w:val="32"/>
          <w:szCs w:val="32"/>
          <w:lang w:val="en-US" w:eastAsia="zh-CN"/>
        </w:rPr>
        <w:t>Zhì</w:t>
      </w:r>
      <w:proofErr w:type="spellEnd"/>
      <w:r w:rsidR="0038005C" w:rsidRPr="0038005C">
        <w:rPr>
          <w:rFonts w:ascii="Times New Roman" w:eastAsia="Microsoft YaHei" w:hAnsi="Times New Roman" w:cs="Times New Roman"/>
          <w:b/>
          <w:bCs/>
          <w:sz w:val="32"/>
          <w:szCs w:val="32"/>
          <w:lang w:val="en-US" w:eastAsia="zh-CN"/>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52F11" w14:paraId="0C8DD0B7" w14:textId="77777777" w:rsidTr="00D75663">
        <w:trPr>
          <w:trHeight w:val="347"/>
          <w:jc w:val="center"/>
        </w:trPr>
        <w:tc>
          <w:tcPr>
            <w:tcW w:w="3020" w:type="dxa"/>
          </w:tcPr>
          <w:p w14:paraId="1B636A4D" w14:textId="54098373" w:rsidR="00A52F11" w:rsidRPr="00D75663" w:rsidRDefault="001E0C0B" w:rsidP="00D75663">
            <w:pPr>
              <w:spacing w:after="0" w:line="240" w:lineRule="auto"/>
              <w:jc w:val="center"/>
              <w:rPr>
                <w:rFonts w:ascii="Times New Roman" w:eastAsiaTheme="minorEastAsia" w:hAnsi="Times New Roman" w:cs="Times New Roman"/>
                <w:sz w:val="24"/>
                <w:szCs w:val="24"/>
                <w:lang w:eastAsia="zh-CN"/>
              </w:rPr>
            </w:pPr>
            <w:bookmarkStart w:id="3" w:name="OLE_LINK7"/>
            <w:bookmarkStart w:id="4" w:name="OLE_LINK8"/>
            <w:bookmarkStart w:id="5" w:name="OLE_LINK9"/>
            <w:bookmarkStart w:id="6" w:name="OLE_LINK10"/>
            <w:bookmarkStart w:id="7" w:name="OLE_LINK15"/>
            <w:r w:rsidRPr="00D75663">
              <w:rPr>
                <w:rFonts w:ascii="Times New Roman" w:eastAsiaTheme="minorEastAsia" w:hAnsi="Times New Roman" w:cs="Times New Roman"/>
                <w:sz w:val="24"/>
                <w:szCs w:val="24"/>
                <w:lang w:eastAsia="zh-CN"/>
              </w:rPr>
              <w:t xml:space="preserve">European </w:t>
            </w:r>
            <w:proofErr w:type="spellStart"/>
            <w:r w:rsidRPr="00D75663">
              <w:rPr>
                <w:rFonts w:ascii="Times New Roman" w:eastAsiaTheme="minorEastAsia" w:hAnsi="Times New Roman" w:cs="Times New Roman"/>
                <w:sz w:val="24"/>
                <w:szCs w:val="24"/>
                <w:lang w:eastAsia="zh-CN"/>
              </w:rPr>
              <w:t>Perspective</w:t>
            </w:r>
            <w:proofErr w:type="spellEnd"/>
          </w:p>
        </w:tc>
        <w:tc>
          <w:tcPr>
            <w:tcW w:w="3021" w:type="dxa"/>
          </w:tcPr>
          <w:p w14:paraId="4FF1DB2C" w14:textId="52DFDA91" w:rsidR="00A52F11" w:rsidRPr="00D75663" w:rsidRDefault="00A52F11" w:rsidP="00D75663">
            <w:pPr>
              <w:spacing w:after="0" w:line="240" w:lineRule="auto"/>
              <w:jc w:val="center"/>
              <w:rPr>
                <w:rFonts w:ascii="Times New Roman" w:eastAsiaTheme="minorEastAsia" w:hAnsi="Times New Roman" w:cs="Times New Roman"/>
                <w:sz w:val="24"/>
                <w:szCs w:val="24"/>
                <w:lang w:eastAsia="zh-CN"/>
              </w:rPr>
            </w:pPr>
            <w:r w:rsidRPr="00D75663">
              <w:rPr>
                <w:rFonts w:ascii="Times New Roman" w:eastAsiaTheme="minorEastAsia" w:hAnsi="Times New Roman" w:cs="Times New Roman"/>
                <w:sz w:val="24"/>
                <w:szCs w:val="24"/>
                <w:lang w:eastAsia="zh-CN"/>
              </w:rPr>
              <w:t xml:space="preserve">Hans-Peter </w:t>
            </w:r>
            <w:proofErr w:type="spellStart"/>
            <w:r w:rsidRPr="00D75663">
              <w:rPr>
                <w:rFonts w:ascii="Times New Roman" w:eastAsiaTheme="minorEastAsia" w:hAnsi="Times New Roman" w:cs="Times New Roman"/>
                <w:sz w:val="24"/>
                <w:szCs w:val="24"/>
                <w:lang w:eastAsia="zh-CN"/>
              </w:rPr>
              <w:t>Freymann</w:t>
            </w:r>
            <w:proofErr w:type="spellEnd"/>
          </w:p>
        </w:tc>
        <w:tc>
          <w:tcPr>
            <w:tcW w:w="3021" w:type="dxa"/>
          </w:tcPr>
          <w:p w14:paraId="0C72009A" w14:textId="3E15A4A7" w:rsidR="00A52F11" w:rsidRPr="00D75663" w:rsidRDefault="00521948" w:rsidP="00D75663">
            <w:pPr>
              <w:spacing w:after="0" w:line="240" w:lineRule="auto"/>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17</w:t>
            </w:r>
            <w:r w:rsidR="001E0C0B" w:rsidRPr="00D75663">
              <w:rPr>
                <w:rFonts w:ascii="Times New Roman" w:eastAsiaTheme="minorEastAsia" w:hAnsi="Times New Roman" w:cs="Times New Roman"/>
                <w:sz w:val="24"/>
                <w:szCs w:val="24"/>
                <w:lang w:eastAsia="zh-CN"/>
              </w:rPr>
              <w:t xml:space="preserve"> Feb </w:t>
            </w:r>
            <w:r w:rsidR="00A52F11" w:rsidRPr="00D75663">
              <w:rPr>
                <w:rFonts w:ascii="Times New Roman" w:eastAsiaTheme="minorEastAsia" w:hAnsi="Times New Roman" w:cs="Times New Roman"/>
                <w:sz w:val="24"/>
                <w:szCs w:val="24"/>
                <w:lang w:eastAsia="zh-CN"/>
              </w:rPr>
              <w:t>202</w:t>
            </w:r>
            <w:r w:rsidR="001E0C0B" w:rsidRPr="00D75663">
              <w:rPr>
                <w:rFonts w:ascii="Times New Roman" w:eastAsiaTheme="minorEastAsia" w:hAnsi="Times New Roman" w:cs="Times New Roman"/>
                <w:sz w:val="24"/>
                <w:szCs w:val="24"/>
                <w:lang w:eastAsia="zh-CN"/>
              </w:rPr>
              <w:t>2</w:t>
            </w:r>
          </w:p>
        </w:tc>
      </w:tr>
    </w:tbl>
    <w:bookmarkEnd w:id="0"/>
    <w:bookmarkEnd w:id="1"/>
    <w:bookmarkEnd w:id="2"/>
    <w:bookmarkEnd w:id="3"/>
    <w:bookmarkEnd w:id="4"/>
    <w:bookmarkEnd w:id="5"/>
    <w:bookmarkEnd w:id="6"/>
    <w:bookmarkEnd w:id="7"/>
    <w:p w14:paraId="1CA26320" w14:textId="4FF4CC90" w:rsidR="004A2621" w:rsidRPr="00A52F11" w:rsidRDefault="004A2621" w:rsidP="00A52F11">
      <w:pPr>
        <w:spacing w:before="120" w:after="120" w:line="240" w:lineRule="auto"/>
        <w:jc w:val="both"/>
        <w:rPr>
          <w:rFonts w:ascii="Times New Roman" w:hAnsi="Times New Roman" w:cs="Times New Roman"/>
          <w:sz w:val="24"/>
          <w:szCs w:val="24"/>
          <w:lang w:val="en-US"/>
        </w:rPr>
      </w:pPr>
      <w:r w:rsidRPr="00A52F11">
        <w:rPr>
          <w:rFonts w:ascii="Times New Roman" w:hAnsi="Times New Roman" w:cs="Times New Roman"/>
          <w:sz w:val="24"/>
          <w:szCs w:val="24"/>
          <w:lang w:val="en-US"/>
        </w:rPr>
        <w:t>Hardly any other political idea has gained greater global recognition nor has spread so far in recent decades as the rule of law. Supported by a worldwide campaign that was initiated in the early 1990s by the World Bank and the International Monetary Fund (IMF) to create uniform conditions for successful economic development, practically no country today has not adopted the rule of law; however, this success is only superficial, for in fact, there is no agreement on what is meant by the rule of law. Rather, as a prime example for a “profoundly contested concept”</w:t>
      </w:r>
      <w:r w:rsidRPr="00A52F11">
        <w:rPr>
          <w:rStyle w:val="Funotenzeichen"/>
          <w:rFonts w:ascii="Times New Roman" w:hAnsi="Times New Roman" w:cs="Times New Roman"/>
          <w:sz w:val="24"/>
          <w:szCs w:val="24"/>
          <w:lang w:val="en-US"/>
        </w:rPr>
        <w:footnoteReference w:id="1"/>
      </w:r>
      <w:r w:rsidR="00D41A39"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xml:space="preserve"> there are numerous, sometimes substantially different meanings associated with the term, so that ultimately every political system can claim to enforce the rule of law, even if its respective forms are highly diverse.</w:t>
      </w:r>
    </w:p>
    <w:p w14:paraId="1CC189CF" w14:textId="1BB15534" w:rsidR="004A2621" w:rsidRPr="00A52F11" w:rsidRDefault="004A2621" w:rsidP="00A52F11">
      <w:pPr>
        <w:spacing w:before="120" w:after="120" w:line="240" w:lineRule="auto"/>
        <w:jc w:val="both"/>
        <w:rPr>
          <w:rFonts w:ascii="Times New Roman" w:hAnsi="Times New Roman" w:cs="Times New Roman"/>
          <w:sz w:val="24"/>
          <w:szCs w:val="24"/>
          <w:lang w:val="en-US"/>
        </w:rPr>
      </w:pPr>
      <w:r w:rsidRPr="00A52F11">
        <w:rPr>
          <w:rFonts w:ascii="Times New Roman" w:hAnsi="Times New Roman" w:cs="Times New Roman"/>
          <w:sz w:val="24"/>
          <w:szCs w:val="24"/>
          <w:lang w:val="en-US"/>
        </w:rPr>
        <w:t>Why is this so? Historically, the rule of law has been a central instrument for limiting sovereignty with the aim of preventing abuse of government power or even tyranny. By binding sovereignty to the law – both in the sense of laws passed by the ruler(s) themselves and in the sense of a higher-ranking law (e.g., natural law, customary law, divine law) that is removed from sovereignty and whose observance is guaranteed by an independent judiciary – the exclusion of arbitrariness and other negative excesses of the state’s exercise of power, which experience has shown can arise from human weakness, should be ideally ensured. The rule of law thus represents the antithesis of the “rule of man”, or as Aristotle puts it: “It is more proper that law should govern than any one of the citizens”</w:t>
      </w:r>
      <w:r w:rsidRPr="00A52F11">
        <w:rPr>
          <w:rStyle w:val="Funotenzeichen"/>
          <w:rFonts w:ascii="Times New Roman" w:hAnsi="Times New Roman" w:cs="Times New Roman"/>
          <w:sz w:val="24"/>
          <w:szCs w:val="24"/>
          <w:lang w:val="en-US"/>
        </w:rPr>
        <w:footnoteReference w:id="2"/>
      </w:r>
      <w:r w:rsidR="00D41A39" w:rsidRPr="00A52F11">
        <w:rPr>
          <w:rFonts w:ascii="Times New Roman" w:hAnsi="Times New Roman" w:cs="Times New Roman"/>
          <w:sz w:val="24"/>
          <w:szCs w:val="24"/>
          <w:lang w:val="en-US"/>
        </w:rPr>
        <w:t>.</w:t>
      </w:r>
    </w:p>
    <w:p w14:paraId="47D0931B" w14:textId="0A1BDAED" w:rsidR="004A2621" w:rsidRPr="00A52F11" w:rsidRDefault="004A2621" w:rsidP="00A52F11">
      <w:pPr>
        <w:spacing w:before="120" w:after="120" w:line="240" w:lineRule="auto"/>
        <w:jc w:val="both"/>
        <w:rPr>
          <w:rFonts w:ascii="Times New Roman" w:hAnsi="Times New Roman" w:cs="Times New Roman"/>
          <w:sz w:val="24"/>
          <w:szCs w:val="24"/>
          <w:lang w:val="en-US"/>
        </w:rPr>
      </w:pPr>
      <w:r w:rsidRPr="00A52F11">
        <w:rPr>
          <w:rFonts w:ascii="Times New Roman" w:hAnsi="Times New Roman" w:cs="Times New Roman"/>
          <w:sz w:val="24"/>
          <w:szCs w:val="24"/>
          <w:lang w:val="en-US"/>
        </w:rPr>
        <w:t xml:space="preserve">In contrast, a </w:t>
      </w:r>
      <w:r w:rsidR="00D43DA1"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thin</w:t>
      </w:r>
      <w:r w:rsidR="00D43DA1"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xml:space="preserve">, formalistic approach to the rule of law prevails in academic </w:t>
      </w:r>
      <w:r w:rsidR="00D43DA1" w:rsidRPr="00A52F11">
        <w:rPr>
          <w:rFonts w:ascii="Times New Roman" w:hAnsi="Times New Roman" w:cs="Times New Roman"/>
          <w:sz w:val="24"/>
          <w:szCs w:val="24"/>
          <w:lang w:val="en-US"/>
        </w:rPr>
        <w:t>discourse</w:t>
      </w:r>
      <w:r w:rsidRPr="00A52F11">
        <w:rPr>
          <w:rFonts w:ascii="Times New Roman" w:hAnsi="Times New Roman" w:cs="Times New Roman"/>
          <w:sz w:val="24"/>
          <w:szCs w:val="24"/>
          <w:lang w:val="en-US"/>
        </w:rPr>
        <w:t xml:space="preserve">, especially in the opinion of Anglo-American commentators. This goes beyond the extreme position, which ultimately associates the rule of law </w:t>
      </w:r>
      <w:r w:rsidR="004B5789" w:rsidRPr="00A52F11">
        <w:rPr>
          <w:rFonts w:ascii="Times New Roman" w:hAnsi="Times New Roman" w:cs="Times New Roman"/>
          <w:sz w:val="24"/>
          <w:szCs w:val="24"/>
          <w:lang w:val="en-US"/>
        </w:rPr>
        <w:t xml:space="preserve">with </w:t>
      </w:r>
      <w:r w:rsidRPr="00A52F11">
        <w:rPr>
          <w:rFonts w:ascii="Times New Roman" w:hAnsi="Times New Roman" w:cs="Times New Roman"/>
          <w:sz w:val="24"/>
          <w:szCs w:val="24"/>
          <w:lang w:val="en-US"/>
        </w:rPr>
        <w:t>the demand that all action of sovereign</w:t>
      </w:r>
      <w:r w:rsidR="004B5789" w:rsidRPr="00A52F11">
        <w:rPr>
          <w:rFonts w:ascii="Times New Roman" w:hAnsi="Times New Roman" w:cs="Times New Roman"/>
          <w:sz w:val="24"/>
          <w:szCs w:val="24"/>
          <w:lang w:val="en-US"/>
        </w:rPr>
        <w:t>ty</w:t>
      </w:r>
      <w:r w:rsidRPr="00A52F11">
        <w:rPr>
          <w:rFonts w:ascii="Times New Roman" w:hAnsi="Times New Roman" w:cs="Times New Roman"/>
          <w:sz w:val="24"/>
          <w:szCs w:val="24"/>
          <w:lang w:val="en-US"/>
        </w:rPr>
        <w:t xml:space="preserve"> must be carried out by law (</w:t>
      </w:r>
      <w:r w:rsidR="004B5789"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rule by law</w:t>
      </w:r>
      <w:r w:rsidR="004B5789"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by linking additional requirements to legislation</w:t>
      </w:r>
      <w:r w:rsidR="004B5789"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xml:space="preserve"> </w:t>
      </w:r>
      <w:r w:rsidR="004B5789" w:rsidRPr="00A52F11">
        <w:rPr>
          <w:rFonts w:ascii="Times New Roman" w:hAnsi="Times New Roman" w:cs="Times New Roman"/>
          <w:sz w:val="24"/>
          <w:szCs w:val="24"/>
          <w:lang w:val="en-US"/>
        </w:rPr>
        <w:t>h</w:t>
      </w:r>
      <w:r w:rsidRPr="00A52F11">
        <w:rPr>
          <w:rFonts w:ascii="Times New Roman" w:hAnsi="Times New Roman" w:cs="Times New Roman"/>
          <w:sz w:val="24"/>
          <w:szCs w:val="24"/>
          <w:lang w:val="en-US"/>
        </w:rPr>
        <w:t xml:space="preserve">owever, </w:t>
      </w:r>
      <w:r w:rsidR="004B5789" w:rsidRPr="00A52F11">
        <w:rPr>
          <w:rFonts w:ascii="Times New Roman" w:hAnsi="Times New Roman" w:cs="Times New Roman"/>
          <w:sz w:val="24"/>
          <w:szCs w:val="24"/>
          <w:lang w:val="en-US"/>
        </w:rPr>
        <w:t xml:space="preserve">substantial </w:t>
      </w:r>
      <w:r w:rsidRPr="00A52F11">
        <w:rPr>
          <w:rFonts w:ascii="Times New Roman" w:hAnsi="Times New Roman" w:cs="Times New Roman"/>
          <w:sz w:val="24"/>
          <w:szCs w:val="24"/>
          <w:lang w:val="en-US"/>
        </w:rPr>
        <w:t>standards, such as whether a law is just or</w:t>
      </w:r>
      <w:r w:rsidR="00C44AAD" w:rsidRPr="00A52F11">
        <w:rPr>
          <w:rFonts w:ascii="Times New Roman" w:hAnsi="Times New Roman" w:cs="Times New Roman"/>
          <w:sz w:val="24"/>
          <w:szCs w:val="24"/>
          <w:lang w:val="en-US"/>
        </w:rPr>
        <w:t xml:space="preserve"> whether it</w:t>
      </w:r>
      <w:r w:rsidRPr="00A52F11">
        <w:rPr>
          <w:rFonts w:ascii="Times New Roman" w:hAnsi="Times New Roman" w:cs="Times New Roman"/>
          <w:sz w:val="24"/>
          <w:szCs w:val="24"/>
          <w:lang w:val="en-US"/>
        </w:rPr>
        <w:t xml:space="preserve"> must respect fundamental rights, are left out.</w:t>
      </w:r>
    </w:p>
    <w:p w14:paraId="27A84289" w14:textId="3B114A2A" w:rsidR="004A2621" w:rsidRPr="00A52F11" w:rsidRDefault="004A2621" w:rsidP="00A52F11">
      <w:pPr>
        <w:spacing w:before="120" w:after="120" w:line="240" w:lineRule="auto"/>
        <w:jc w:val="both"/>
        <w:rPr>
          <w:rFonts w:ascii="Times New Roman" w:hAnsi="Times New Roman" w:cs="Times New Roman"/>
          <w:sz w:val="24"/>
          <w:szCs w:val="24"/>
          <w:lang w:val="en-US"/>
        </w:rPr>
      </w:pPr>
      <w:r w:rsidRPr="00A52F11">
        <w:rPr>
          <w:rFonts w:ascii="Times New Roman" w:hAnsi="Times New Roman" w:cs="Times New Roman"/>
          <w:sz w:val="24"/>
          <w:szCs w:val="24"/>
          <w:lang w:val="en-US"/>
        </w:rPr>
        <w:t>What distinguishes this approach? The starting point here is a control of behavior made possible by the law</w:t>
      </w:r>
      <w:r w:rsidR="00D41A39"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xml:space="preserve"> or as </w:t>
      </w:r>
      <w:r w:rsidRPr="00A52F11">
        <w:rPr>
          <w:rFonts w:ascii="Times New Roman" w:hAnsi="Times New Roman" w:cs="Times New Roman"/>
          <w:i/>
          <w:sz w:val="24"/>
          <w:szCs w:val="24"/>
          <w:lang w:val="en-US"/>
        </w:rPr>
        <w:t>Joseph Raz</w:t>
      </w:r>
      <w:r w:rsidRPr="00A52F11">
        <w:rPr>
          <w:rFonts w:ascii="Times New Roman" w:hAnsi="Times New Roman" w:cs="Times New Roman"/>
          <w:sz w:val="24"/>
          <w:szCs w:val="24"/>
          <w:lang w:val="en-US"/>
        </w:rPr>
        <w:t xml:space="preserve">, a leading contemporary theorist, puts it: </w:t>
      </w:r>
      <w:r w:rsidR="00D41A39" w:rsidRPr="00A52F11">
        <w:rPr>
          <w:rFonts w:ascii="Times New Roman" w:hAnsi="Times New Roman" w:cs="Times New Roman"/>
          <w:sz w:val="24"/>
          <w:szCs w:val="24"/>
          <w:lang w:val="en-US"/>
        </w:rPr>
        <w:t>“I</w:t>
      </w:r>
      <w:r w:rsidRPr="00A52F11">
        <w:rPr>
          <w:rFonts w:ascii="Times New Roman" w:hAnsi="Times New Roman" w:cs="Times New Roman"/>
          <w:sz w:val="24"/>
          <w:szCs w:val="24"/>
          <w:lang w:val="en-US"/>
        </w:rPr>
        <w:t>f the law is to be obeyed</w:t>
      </w:r>
      <w:r w:rsidR="00D41A39"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xml:space="preserve"> it must be capable of guiding the behavior of its subjects</w:t>
      </w:r>
      <w:r w:rsidR="00D41A39" w:rsidRPr="00A52F11">
        <w:rPr>
          <w:rFonts w:ascii="Times New Roman" w:hAnsi="Times New Roman" w:cs="Times New Roman"/>
          <w:sz w:val="24"/>
          <w:szCs w:val="24"/>
          <w:lang w:val="en-US"/>
        </w:rPr>
        <w:t>”</w:t>
      </w:r>
      <w:r w:rsidRPr="00A52F11">
        <w:rPr>
          <w:rStyle w:val="Funotenzeichen"/>
          <w:rFonts w:ascii="Times New Roman" w:hAnsi="Times New Roman" w:cs="Times New Roman"/>
          <w:sz w:val="24"/>
          <w:szCs w:val="24"/>
          <w:lang w:val="en-US"/>
        </w:rPr>
        <w:footnoteReference w:id="3"/>
      </w:r>
      <w:r w:rsidRPr="00A52F11">
        <w:rPr>
          <w:rFonts w:ascii="Times New Roman" w:hAnsi="Times New Roman" w:cs="Times New Roman"/>
          <w:sz w:val="24"/>
          <w:szCs w:val="24"/>
          <w:lang w:val="en-US"/>
        </w:rPr>
        <w:t>. Derived from this, a law must be legally certain in the broadest sense, i.e.</w:t>
      </w:r>
      <w:r w:rsidR="00D41A39"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xml:space="preserve"> its preconditions and legal consequences must be foreseeable in that it is formulated clearly, free of contradictions</w:t>
      </w:r>
      <w:r w:rsidR="00D41A39"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xml:space="preserve"> and sufficiently definite; it must be publicly accessible to everyone, have a reasonably lasting effect, be forward-looking</w:t>
      </w:r>
      <w:r w:rsidR="00D41A39"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xml:space="preserve"> and it must not demand the impossible, i.e.</w:t>
      </w:r>
      <w:r w:rsidR="00D41A39"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xml:space="preserve"> </w:t>
      </w:r>
      <w:r w:rsidR="00D41A39" w:rsidRPr="00A52F11">
        <w:rPr>
          <w:rFonts w:ascii="Times New Roman" w:hAnsi="Times New Roman" w:cs="Times New Roman"/>
          <w:sz w:val="24"/>
          <w:szCs w:val="24"/>
          <w:lang w:val="en-US"/>
        </w:rPr>
        <w:t xml:space="preserve">it must </w:t>
      </w:r>
      <w:r w:rsidRPr="00A52F11">
        <w:rPr>
          <w:rFonts w:ascii="Times New Roman" w:hAnsi="Times New Roman" w:cs="Times New Roman"/>
          <w:sz w:val="24"/>
          <w:szCs w:val="24"/>
          <w:lang w:val="en-US"/>
        </w:rPr>
        <w:t>be capable of being fulfilled. Furthermore, a law must be universally valid, i.e.</w:t>
      </w:r>
      <w:r w:rsidR="00D41A39"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xml:space="preserve"> it must apply equally to everyone, including the holders of state power, or </w:t>
      </w:r>
      <w:r w:rsidR="00C44AAD" w:rsidRPr="00A52F11">
        <w:rPr>
          <w:rFonts w:ascii="Times New Roman" w:hAnsi="Times New Roman" w:cs="Times New Roman"/>
          <w:sz w:val="24"/>
          <w:szCs w:val="24"/>
          <w:lang w:val="en-US"/>
        </w:rPr>
        <w:t>as</w:t>
      </w:r>
      <w:r w:rsidRPr="00A52F11">
        <w:rPr>
          <w:rFonts w:ascii="Times New Roman" w:hAnsi="Times New Roman" w:cs="Times New Roman"/>
          <w:sz w:val="24"/>
          <w:szCs w:val="24"/>
          <w:lang w:val="en-US"/>
        </w:rPr>
        <w:t xml:space="preserve"> A.</w:t>
      </w:r>
      <w:r w:rsidR="00C44AAD" w:rsidRPr="00A52F11">
        <w:rPr>
          <w:rFonts w:ascii="Times New Roman" w:hAnsi="Times New Roman" w:cs="Times New Roman"/>
          <w:sz w:val="24"/>
          <w:szCs w:val="24"/>
          <w:lang w:val="en-US"/>
        </w:rPr>
        <w:t xml:space="preserve"> </w:t>
      </w:r>
      <w:r w:rsidRPr="00A52F11">
        <w:rPr>
          <w:rFonts w:ascii="Times New Roman" w:hAnsi="Times New Roman" w:cs="Times New Roman"/>
          <w:sz w:val="24"/>
          <w:szCs w:val="24"/>
          <w:lang w:val="en-US"/>
        </w:rPr>
        <w:t>V.</w:t>
      </w:r>
      <w:r w:rsidR="00C44AAD" w:rsidRPr="00A52F11">
        <w:rPr>
          <w:rFonts w:ascii="Times New Roman" w:hAnsi="Times New Roman" w:cs="Times New Roman"/>
          <w:sz w:val="24"/>
          <w:szCs w:val="24"/>
          <w:lang w:val="en-US"/>
        </w:rPr>
        <w:t xml:space="preserve"> </w:t>
      </w:r>
      <w:r w:rsidRPr="00A52F11">
        <w:rPr>
          <w:rFonts w:ascii="Times New Roman" w:hAnsi="Times New Roman" w:cs="Times New Roman"/>
          <w:sz w:val="24"/>
          <w:szCs w:val="24"/>
          <w:lang w:val="en-US"/>
        </w:rPr>
        <w:t>Dicey</w:t>
      </w:r>
      <w:r w:rsidR="00C44AAD" w:rsidRPr="00A52F11">
        <w:rPr>
          <w:rFonts w:ascii="Times New Roman" w:hAnsi="Times New Roman" w:cs="Times New Roman"/>
          <w:sz w:val="24"/>
          <w:szCs w:val="24"/>
          <w:lang w:val="en-US"/>
        </w:rPr>
        <w:t xml:space="preserve"> states</w:t>
      </w:r>
      <w:r w:rsidRPr="00A52F11">
        <w:rPr>
          <w:rFonts w:ascii="Times New Roman" w:hAnsi="Times New Roman" w:cs="Times New Roman"/>
          <w:sz w:val="24"/>
          <w:szCs w:val="24"/>
          <w:lang w:val="en-US"/>
        </w:rPr>
        <w:t xml:space="preserve">: </w:t>
      </w:r>
      <w:r w:rsidR="00D41A39" w:rsidRPr="00A52F11">
        <w:rPr>
          <w:rFonts w:ascii="Times New Roman" w:hAnsi="Times New Roman" w:cs="Times New Roman"/>
          <w:sz w:val="24"/>
          <w:szCs w:val="24"/>
          <w:lang w:val="en-US"/>
        </w:rPr>
        <w:t>“</w:t>
      </w:r>
      <w:r w:rsidR="00C44AAD" w:rsidRPr="00A52F11">
        <w:rPr>
          <w:rFonts w:ascii="Times New Roman" w:hAnsi="Times New Roman" w:cs="Times New Roman"/>
          <w:sz w:val="24"/>
          <w:szCs w:val="24"/>
          <w:lang w:val="en-US"/>
        </w:rPr>
        <w:t>N</w:t>
      </w:r>
      <w:r w:rsidRPr="00A52F11">
        <w:rPr>
          <w:rFonts w:ascii="Times New Roman" w:hAnsi="Times New Roman" w:cs="Times New Roman"/>
          <w:sz w:val="24"/>
          <w:szCs w:val="24"/>
          <w:lang w:val="en-US"/>
        </w:rPr>
        <w:t>o man is above the law</w:t>
      </w:r>
      <w:r w:rsidR="00D41A39" w:rsidRPr="00A52F11">
        <w:rPr>
          <w:rFonts w:ascii="Times New Roman" w:hAnsi="Times New Roman" w:cs="Times New Roman"/>
          <w:sz w:val="24"/>
          <w:szCs w:val="24"/>
          <w:lang w:val="en-US"/>
        </w:rPr>
        <w:t>”</w:t>
      </w:r>
      <w:r w:rsidRPr="00A52F11">
        <w:rPr>
          <w:rStyle w:val="Funotenzeichen"/>
          <w:rFonts w:ascii="Times New Roman" w:hAnsi="Times New Roman" w:cs="Times New Roman"/>
          <w:sz w:val="24"/>
          <w:szCs w:val="24"/>
          <w:lang w:val="en-US"/>
        </w:rPr>
        <w:footnoteReference w:id="4"/>
      </w:r>
      <w:r w:rsidR="00D41A39" w:rsidRPr="00A52F11">
        <w:rPr>
          <w:rFonts w:ascii="Times New Roman" w:hAnsi="Times New Roman" w:cs="Times New Roman"/>
          <w:sz w:val="24"/>
          <w:szCs w:val="24"/>
          <w:lang w:val="en-US"/>
        </w:rPr>
        <w:t xml:space="preserve">. </w:t>
      </w:r>
      <w:proofErr w:type="gramStart"/>
      <w:r w:rsidRPr="00A52F11">
        <w:rPr>
          <w:rFonts w:ascii="Times New Roman" w:hAnsi="Times New Roman" w:cs="Times New Roman"/>
          <w:sz w:val="24"/>
          <w:szCs w:val="24"/>
          <w:lang w:val="en-US"/>
        </w:rPr>
        <w:t>In order for</w:t>
      </w:r>
      <w:proofErr w:type="gramEnd"/>
      <w:r w:rsidRPr="00A52F11">
        <w:rPr>
          <w:rFonts w:ascii="Times New Roman" w:hAnsi="Times New Roman" w:cs="Times New Roman"/>
          <w:sz w:val="24"/>
          <w:szCs w:val="24"/>
          <w:lang w:val="en-US"/>
        </w:rPr>
        <w:t xml:space="preserve"> law to be</w:t>
      </w:r>
      <w:r w:rsidR="00D41A39" w:rsidRPr="00A52F11">
        <w:rPr>
          <w:rFonts w:ascii="Times New Roman" w:hAnsi="Times New Roman" w:cs="Times New Roman"/>
          <w:sz w:val="24"/>
          <w:szCs w:val="24"/>
          <w:lang w:val="en-US"/>
        </w:rPr>
        <w:t xml:space="preserve"> more than</w:t>
      </w:r>
      <w:r w:rsidRPr="00A52F11">
        <w:rPr>
          <w:rFonts w:ascii="Times New Roman" w:hAnsi="Times New Roman" w:cs="Times New Roman"/>
          <w:sz w:val="24"/>
          <w:szCs w:val="24"/>
          <w:lang w:val="en-US"/>
        </w:rPr>
        <w:t xml:space="preserve"> mere appeal, it also requires a regulatory mechanism that allows its enforcement. </w:t>
      </w:r>
      <w:proofErr w:type="gramStart"/>
      <w:r w:rsidR="00D41A39" w:rsidRPr="00A52F11">
        <w:rPr>
          <w:rFonts w:ascii="Times New Roman" w:hAnsi="Times New Roman" w:cs="Times New Roman"/>
          <w:sz w:val="24"/>
          <w:szCs w:val="24"/>
          <w:lang w:val="en-US"/>
        </w:rPr>
        <w:t>In particular, t</w:t>
      </w:r>
      <w:r w:rsidRPr="00A52F11">
        <w:rPr>
          <w:rFonts w:ascii="Times New Roman" w:hAnsi="Times New Roman" w:cs="Times New Roman"/>
          <w:sz w:val="24"/>
          <w:szCs w:val="24"/>
          <w:lang w:val="en-US"/>
        </w:rPr>
        <w:t>his</w:t>
      </w:r>
      <w:proofErr w:type="gramEnd"/>
      <w:r w:rsidRPr="00A52F11">
        <w:rPr>
          <w:rFonts w:ascii="Times New Roman" w:hAnsi="Times New Roman" w:cs="Times New Roman"/>
          <w:sz w:val="24"/>
          <w:szCs w:val="24"/>
          <w:lang w:val="en-US"/>
        </w:rPr>
        <w:t xml:space="preserve"> includes the granting of procedural rights that guarantee everyone easy access to an open and fair trial without bias as well as the establishment of barriers in the exercise of </w:t>
      </w:r>
      <w:r w:rsidRPr="00A52F11">
        <w:rPr>
          <w:rFonts w:ascii="Times New Roman" w:hAnsi="Times New Roman" w:cs="Times New Roman"/>
          <w:sz w:val="24"/>
          <w:szCs w:val="24"/>
          <w:lang w:val="en-US"/>
        </w:rPr>
        <w:lastRenderedPageBreak/>
        <w:t>discretion by (</w:t>
      </w:r>
      <w:r w:rsidR="00D41A39" w:rsidRPr="00A52F11">
        <w:rPr>
          <w:rFonts w:ascii="Times New Roman" w:hAnsi="Times New Roman" w:cs="Times New Roman"/>
          <w:sz w:val="24"/>
          <w:szCs w:val="24"/>
          <w:lang w:val="en-US"/>
        </w:rPr>
        <w:t>public</w:t>
      </w:r>
      <w:r w:rsidRPr="00A52F11">
        <w:rPr>
          <w:rFonts w:ascii="Times New Roman" w:hAnsi="Times New Roman" w:cs="Times New Roman"/>
          <w:sz w:val="24"/>
          <w:szCs w:val="24"/>
          <w:lang w:val="en-US"/>
        </w:rPr>
        <w:t xml:space="preserve">) </w:t>
      </w:r>
      <w:r w:rsidR="00D41A39" w:rsidRPr="00A52F11">
        <w:rPr>
          <w:rFonts w:ascii="Times New Roman" w:hAnsi="Times New Roman" w:cs="Times New Roman"/>
          <w:sz w:val="24"/>
          <w:szCs w:val="24"/>
          <w:lang w:val="en-US"/>
        </w:rPr>
        <w:t>authorities</w:t>
      </w:r>
      <w:r w:rsidRPr="00A52F11">
        <w:rPr>
          <w:rFonts w:ascii="Times New Roman" w:hAnsi="Times New Roman" w:cs="Times New Roman"/>
          <w:sz w:val="24"/>
          <w:szCs w:val="24"/>
          <w:lang w:val="en-US"/>
        </w:rPr>
        <w:t xml:space="preserve">, each of which </w:t>
      </w:r>
      <w:r w:rsidR="00C44AAD" w:rsidRPr="00A52F11">
        <w:rPr>
          <w:rFonts w:ascii="Times New Roman" w:hAnsi="Times New Roman" w:cs="Times New Roman"/>
          <w:sz w:val="24"/>
          <w:szCs w:val="24"/>
          <w:lang w:val="en-US"/>
        </w:rPr>
        <w:t>are eligible for</w:t>
      </w:r>
      <w:r w:rsidRPr="00A52F11">
        <w:rPr>
          <w:rFonts w:ascii="Times New Roman" w:hAnsi="Times New Roman" w:cs="Times New Roman"/>
          <w:sz w:val="24"/>
          <w:szCs w:val="24"/>
          <w:lang w:val="en-US"/>
        </w:rPr>
        <w:t xml:space="preserve"> review</w:t>
      </w:r>
      <w:r w:rsidR="00C44AAD" w:rsidRPr="00A52F11">
        <w:rPr>
          <w:rFonts w:ascii="Times New Roman" w:hAnsi="Times New Roman" w:cs="Times New Roman"/>
          <w:sz w:val="24"/>
          <w:szCs w:val="24"/>
          <w:lang w:val="en-US"/>
        </w:rPr>
        <w:t xml:space="preserve"> </w:t>
      </w:r>
      <w:r w:rsidRPr="00A52F11">
        <w:rPr>
          <w:rFonts w:ascii="Times New Roman" w:hAnsi="Times New Roman" w:cs="Times New Roman"/>
          <w:sz w:val="24"/>
          <w:szCs w:val="24"/>
          <w:lang w:val="en-US"/>
        </w:rPr>
        <w:t xml:space="preserve">and </w:t>
      </w:r>
      <w:r w:rsidR="00C44AAD" w:rsidRPr="00A52F11">
        <w:rPr>
          <w:rFonts w:ascii="Times New Roman" w:hAnsi="Times New Roman" w:cs="Times New Roman"/>
          <w:sz w:val="24"/>
          <w:szCs w:val="24"/>
          <w:lang w:val="en-US"/>
        </w:rPr>
        <w:t xml:space="preserve">are </w:t>
      </w:r>
      <w:r w:rsidRPr="00A52F11">
        <w:rPr>
          <w:rFonts w:ascii="Times New Roman" w:hAnsi="Times New Roman" w:cs="Times New Roman"/>
          <w:sz w:val="24"/>
          <w:szCs w:val="24"/>
          <w:lang w:val="en-US"/>
        </w:rPr>
        <w:t>enforced by an independent judiciary.</w:t>
      </w:r>
    </w:p>
    <w:p w14:paraId="7D0D3F6F" w14:textId="347B634E" w:rsidR="004A2621" w:rsidRPr="00A52F11" w:rsidRDefault="004A2621" w:rsidP="00A52F11">
      <w:pPr>
        <w:spacing w:before="120" w:after="120" w:line="240" w:lineRule="auto"/>
        <w:jc w:val="both"/>
        <w:rPr>
          <w:rFonts w:ascii="Times New Roman" w:hAnsi="Times New Roman" w:cs="Times New Roman"/>
          <w:sz w:val="24"/>
          <w:szCs w:val="24"/>
          <w:lang w:val="en-US"/>
        </w:rPr>
      </w:pPr>
      <w:r w:rsidRPr="00A52F11">
        <w:rPr>
          <w:rFonts w:ascii="Times New Roman" w:hAnsi="Times New Roman" w:cs="Times New Roman"/>
          <w:sz w:val="24"/>
          <w:szCs w:val="24"/>
          <w:lang w:val="en-US"/>
        </w:rPr>
        <w:t>Such a retreat to formal criteria of legality ultimately leads to what generally constitutes norm</w:t>
      </w:r>
      <w:r w:rsidR="00C44AAD" w:rsidRPr="00A52F11">
        <w:rPr>
          <w:rFonts w:ascii="Times New Roman" w:hAnsi="Times New Roman" w:cs="Times New Roman"/>
          <w:sz w:val="24"/>
          <w:szCs w:val="24"/>
          <w:lang w:val="en-US"/>
        </w:rPr>
        <w:noBreakHyphen/>
      </w:r>
      <w:r w:rsidRPr="00A52F11">
        <w:rPr>
          <w:rFonts w:ascii="Times New Roman" w:hAnsi="Times New Roman" w:cs="Times New Roman"/>
          <w:sz w:val="24"/>
          <w:szCs w:val="24"/>
          <w:lang w:val="en-US"/>
        </w:rPr>
        <w:t>setting and norm-following, i.e.</w:t>
      </w:r>
      <w:r w:rsidR="00D41A39"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xml:space="preserve"> norm-theoretical considerations, or as </w:t>
      </w:r>
      <w:r w:rsidRPr="00A52F11">
        <w:rPr>
          <w:rFonts w:ascii="Times New Roman" w:hAnsi="Times New Roman" w:cs="Times New Roman"/>
          <w:i/>
          <w:sz w:val="24"/>
          <w:szCs w:val="24"/>
          <w:lang w:val="en-US"/>
        </w:rPr>
        <w:t xml:space="preserve">Benjamin N. Cardozo </w:t>
      </w:r>
      <w:r w:rsidRPr="00A52F11">
        <w:rPr>
          <w:rFonts w:ascii="Times New Roman" w:hAnsi="Times New Roman" w:cs="Times New Roman"/>
          <w:sz w:val="24"/>
          <w:szCs w:val="24"/>
          <w:lang w:val="en-US"/>
        </w:rPr>
        <w:t xml:space="preserve">rightly describes: </w:t>
      </w:r>
      <w:r w:rsidR="00D41A39"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In the end there is nothing distinctive about the formal rule of law as a separate ideal. It is about legal rules</w:t>
      </w:r>
      <w:r w:rsidR="00D41A39" w:rsidRPr="00A52F11">
        <w:rPr>
          <w:rFonts w:ascii="Times New Roman" w:hAnsi="Times New Roman" w:cs="Times New Roman"/>
          <w:sz w:val="24"/>
          <w:szCs w:val="24"/>
          <w:lang w:val="en-US"/>
        </w:rPr>
        <w:t>”</w:t>
      </w:r>
      <w:r w:rsidRPr="00A52F11">
        <w:rPr>
          <w:rStyle w:val="Funotenzeichen"/>
          <w:rFonts w:ascii="Times New Roman" w:hAnsi="Times New Roman" w:cs="Times New Roman"/>
          <w:sz w:val="24"/>
          <w:szCs w:val="24"/>
          <w:lang w:val="en-US"/>
        </w:rPr>
        <w:footnoteReference w:id="5"/>
      </w:r>
      <w:r w:rsidRPr="00A52F11">
        <w:rPr>
          <w:rFonts w:ascii="Times New Roman" w:hAnsi="Times New Roman" w:cs="Times New Roman"/>
          <w:sz w:val="24"/>
          <w:szCs w:val="24"/>
          <w:lang w:val="en-US"/>
        </w:rPr>
        <w:t xml:space="preserve">. An approach </w:t>
      </w:r>
      <w:r w:rsidR="00D41A39"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gutted</w:t>
      </w:r>
      <w:r w:rsidR="00D41A39"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xml:space="preserve"> in this way detracts from the original goal of the rule of law. Because no demands are made on the content of the legal rules, the question of whether a law is good or bad is left out, as is the consideration of whether higher-ranking law </w:t>
      </w:r>
      <w:proofErr w:type="gramStart"/>
      <w:r w:rsidRPr="00A52F11">
        <w:rPr>
          <w:rFonts w:ascii="Times New Roman" w:hAnsi="Times New Roman" w:cs="Times New Roman"/>
          <w:sz w:val="24"/>
          <w:szCs w:val="24"/>
          <w:lang w:val="en-US"/>
        </w:rPr>
        <w:t>is able to</w:t>
      </w:r>
      <w:proofErr w:type="gramEnd"/>
      <w:r w:rsidRPr="00A52F11">
        <w:rPr>
          <w:rFonts w:ascii="Times New Roman" w:hAnsi="Times New Roman" w:cs="Times New Roman"/>
          <w:sz w:val="24"/>
          <w:szCs w:val="24"/>
          <w:lang w:val="en-US"/>
        </w:rPr>
        <w:t xml:space="preserve"> restrict the legislator. Restrictions are imposed on sovereign</w:t>
      </w:r>
      <w:r w:rsidR="00D41A39" w:rsidRPr="00A52F11">
        <w:rPr>
          <w:rFonts w:ascii="Times New Roman" w:hAnsi="Times New Roman" w:cs="Times New Roman"/>
          <w:sz w:val="24"/>
          <w:szCs w:val="24"/>
          <w:lang w:val="en-US"/>
        </w:rPr>
        <w:t>ty</w:t>
      </w:r>
      <w:r w:rsidRPr="00A52F11">
        <w:rPr>
          <w:rFonts w:ascii="Times New Roman" w:hAnsi="Times New Roman" w:cs="Times New Roman"/>
          <w:sz w:val="24"/>
          <w:szCs w:val="24"/>
          <w:lang w:val="en-US"/>
        </w:rPr>
        <w:t xml:space="preserve"> only to the extent that it is obliged to act by generally applicable, verifiable rules. Protection against state arbitrariness is limited to the fact that (arbitrary) ad hoc measures are further excluded and political changes of will are integrated into a formal legislative procedure. Nevertheless, this concept has the advantage that, in view of its cultural and political neutrality, it can be adapted to many forms of state and is consequently also suitable for those that do not share Western notions of individual freedom and the guarantee of immutable fundamental/human rights. In this way, a minimum level of legal certainty can be implemented in large parts of the world, which is essential for the functioning of cross-border trade and economic development based on it.</w:t>
      </w:r>
      <w:r w:rsidRPr="00A52F11">
        <w:rPr>
          <w:rStyle w:val="Funotenzeichen"/>
          <w:rFonts w:ascii="Times New Roman" w:hAnsi="Times New Roman" w:cs="Times New Roman"/>
          <w:sz w:val="24"/>
          <w:szCs w:val="24"/>
          <w:lang w:val="en-US"/>
        </w:rPr>
        <w:footnoteReference w:id="6"/>
      </w:r>
    </w:p>
    <w:p w14:paraId="004771F9" w14:textId="08891133" w:rsidR="004A2621" w:rsidRPr="00A52F11" w:rsidRDefault="004A2621" w:rsidP="00A52F11">
      <w:pPr>
        <w:spacing w:before="120" w:after="120" w:line="240" w:lineRule="auto"/>
        <w:jc w:val="both"/>
        <w:rPr>
          <w:rFonts w:ascii="Times New Roman" w:hAnsi="Times New Roman" w:cs="Times New Roman"/>
          <w:sz w:val="24"/>
          <w:szCs w:val="24"/>
          <w:lang w:val="en-US"/>
        </w:rPr>
      </w:pPr>
      <w:r w:rsidRPr="00A52F11">
        <w:rPr>
          <w:rFonts w:ascii="Times New Roman" w:hAnsi="Times New Roman" w:cs="Times New Roman"/>
          <w:sz w:val="24"/>
          <w:szCs w:val="24"/>
          <w:lang w:val="en-US"/>
        </w:rPr>
        <w:t xml:space="preserve">According to European understanding, however, such a formal concept of the rule of law is insufficient. Even an extension of formal legality, </w:t>
      </w:r>
      <w:r w:rsidR="00D017D7" w:rsidRPr="00A52F11">
        <w:rPr>
          <w:rFonts w:ascii="Times New Roman" w:hAnsi="Times New Roman" w:cs="Times New Roman"/>
          <w:sz w:val="24"/>
          <w:szCs w:val="24"/>
          <w:lang w:val="en-US"/>
        </w:rPr>
        <w:t xml:space="preserve">which </w:t>
      </w:r>
      <w:r w:rsidRPr="00A52F11">
        <w:rPr>
          <w:rFonts w:ascii="Times New Roman" w:hAnsi="Times New Roman" w:cs="Times New Roman"/>
          <w:i/>
          <w:sz w:val="24"/>
          <w:szCs w:val="24"/>
          <w:lang w:val="en-US"/>
        </w:rPr>
        <w:t>Jürgen Habermas</w:t>
      </w:r>
      <w:r w:rsidR="00D017D7" w:rsidRPr="00A52F11">
        <w:rPr>
          <w:rFonts w:ascii="Times New Roman" w:hAnsi="Times New Roman" w:cs="Times New Roman"/>
          <w:iCs/>
          <w:sz w:val="24"/>
          <w:szCs w:val="24"/>
          <w:lang w:val="en-US"/>
        </w:rPr>
        <w:t xml:space="preserve"> advocated for</w:t>
      </w:r>
      <w:r w:rsidRPr="00A52F11">
        <w:rPr>
          <w:rFonts w:ascii="Times New Roman" w:hAnsi="Times New Roman" w:cs="Times New Roman"/>
          <w:i/>
          <w:sz w:val="24"/>
          <w:szCs w:val="24"/>
          <w:lang w:val="en-US"/>
        </w:rPr>
        <w:t xml:space="preserve"> </w:t>
      </w:r>
      <w:r w:rsidRPr="00A52F11">
        <w:rPr>
          <w:rFonts w:ascii="Times New Roman" w:hAnsi="Times New Roman" w:cs="Times New Roman"/>
          <w:iCs/>
          <w:sz w:val="24"/>
          <w:szCs w:val="24"/>
          <w:lang w:val="en-US"/>
        </w:rPr>
        <w:t xml:space="preserve">by </w:t>
      </w:r>
      <w:r w:rsidRPr="00A52F11">
        <w:rPr>
          <w:rFonts w:ascii="Times New Roman" w:hAnsi="Times New Roman" w:cs="Times New Roman"/>
          <w:sz w:val="24"/>
          <w:szCs w:val="24"/>
          <w:lang w:val="en-US"/>
        </w:rPr>
        <w:t>demand</w:t>
      </w:r>
      <w:r w:rsidR="00D017D7" w:rsidRPr="00A52F11">
        <w:rPr>
          <w:rFonts w:ascii="Times New Roman" w:hAnsi="Times New Roman" w:cs="Times New Roman"/>
          <w:sz w:val="24"/>
          <w:szCs w:val="24"/>
          <w:lang w:val="en-US"/>
        </w:rPr>
        <w:t>ing</w:t>
      </w:r>
      <w:r w:rsidRPr="00A52F11">
        <w:rPr>
          <w:rFonts w:ascii="Times New Roman" w:hAnsi="Times New Roman" w:cs="Times New Roman"/>
          <w:sz w:val="24"/>
          <w:szCs w:val="24"/>
          <w:lang w:val="en-US"/>
        </w:rPr>
        <w:t xml:space="preserve"> democratic legitimation of the legislator</w:t>
      </w:r>
      <w:r w:rsidR="00C44AAD" w:rsidRPr="00A52F11">
        <w:rPr>
          <w:rFonts w:ascii="Times New Roman" w:hAnsi="Times New Roman" w:cs="Times New Roman"/>
          <w:sz w:val="24"/>
          <w:szCs w:val="24"/>
          <w:lang w:val="en-US"/>
        </w:rPr>
        <w:t xml:space="preserve"> </w:t>
      </w:r>
      <w:r w:rsidR="00D017D7"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w:t>
      </w:r>
      <w:r w:rsidR="00D017D7"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xml:space="preserve"> does not do justice to this</w:t>
      </w:r>
      <w:r w:rsidR="00D017D7"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xml:space="preserve"> a democratic formation of will promises majority approval for a law, but </w:t>
      </w:r>
      <w:r w:rsidR="00D017D7" w:rsidRPr="00A52F11">
        <w:rPr>
          <w:rFonts w:ascii="Times New Roman" w:hAnsi="Times New Roman" w:cs="Times New Roman"/>
          <w:sz w:val="24"/>
          <w:szCs w:val="24"/>
          <w:lang w:val="en-US"/>
        </w:rPr>
        <w:t xml:space="preserve">this </w:t>
      </w:r>
      <w:r w:rsidRPr="00A52F11">
        <w:rPr>
          <w:rFonts w:ascii="Times New Roman" w:hAnsi="Times New Roman" w:cs="Times New Roman"/>
          <w:sz w:val="24"/>
          <w:szCs w:val="24"/>
          <w:lang w:val="en-US"/>
        </w:rPr>
        <w:t xml:space="preserve">alone is not suitable to prevent </w:t>
      </w:r>
      <w:r w:rsidR="00D017D7"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bad</w:t>
      </w:r>
      <w:r w:rsidR="00D017D7"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xml:space="preserve"> regulations</w:t>
      </w:r>
      <w:r w:rsidR="00D017D7"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xml:space="preserve"> </w:t>
      </w:r>
      <w:r w:rsidR="00D017D7" w:rsidRPr="00A52F11">
        <w:rPr>
          <w:rFonts w:ascii="Times New Roman" w:hAnsi="Times New Roman" w:cs="Times New Roman"/>
          <w:sz w:val="24"/>
          <w:szCs w:val="24"/>
          <w:lang w:val="en-US"/>
        </w:rPr>
        <w:t>t</w:t>
      </w:r>
      <w:r w:rsidRPr="00A52F11">
        <w:rPr>
          <w:rFonts w:ascii="Times New Roman" w:hAnsi="Times New Roman" w:cs="Times New Roman"/>
          <w:sz w:val="24"/>
          <w:szCs w:val="24"/>
          <w:lang w:val="en-US"/>
        </w:rPr>
        <w:t xml:space="preserve">herefore, in addition to the formal and democratic requirements, an additional substantive anchoring is needed, such as </w:t>
      </w:r>
      <w:r w:rsidR="00D017D7" w:rsidRPr="00A52F11">
        <w:rPr>
          <w:rFonts w:ascii="Times New Roman" w:hAnsi="Times New Roman" w:cs="Times New Roman"/>
          <w:sz w:val="24"/>
          <w:szCs w:val="24"/>
          <w:lang w:val="en-US"/>
        </w:rPr>
        <w:t>the one</w:t>
      </w:r>
      <w:r w:rsidRPr="00A52F11">
        <w:rPr>
          <w:rFonts w:ascii="Times New Roman" w:hAnsi="Times New Roman" w:cs="Times New Roman"/>
          <w:sz w:val="24"/>
          <w:szCs w:val="24"/>
          <w:lang w:val="en-US"/>
        </w:rPr>
        <w:t xml:space="preserve"> inherent in the </w:t>
      </w:r>
      <w:r w:rsidR="00D017D7"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thicker</w:t>
      </w:r>
      <w:r w:rsidR="00D017D7"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xml:space="preserve">, substantive theoretical approaches to the rule of law. This concerns first and foremost the safeguarding of one of the most important achievements of liberal societies: the guarantee of individual </w:t>
      </w:r>
      <w:r w:rsidR="00D017D7" w:rsidRPr="00A52F11">
        <w:rPr>
          <w:rFonts w:ascii="Times New Roman" w:hAnsi="Times New Roman" w:cs="Times New Roman"/>
          <w:sz w:val="24"/>
          <w:szCs w:val="24"/>
          <w:lang w:val="en-US"/>
        </w:rPr>
        <w:t xml:space="preserve">rights </w:t>
      </w:r>
      <w:r w:rsidRPr="00A52F11">
        <w:rPr>
          <w:rFonts w:ascii="Times New Roman" w:hAnsi="Times New Roman" w:cs="Times New Roman"/>
          <w:sz w:val="24"/>
          <w:szCs w:val="24"/>
          <w:lang w:val="en-US"/>
        </w:rPr>
        <w:t>(</w:t>
      </w:r>
      <w:r w:rsidR="00D017D7" w:rsidRPr="00A52F11">
        <w:rPr>
          <w:rFonts w:ascii="Times New Roman" w:hAnsi="Times New Roman" w:cs="Times New Roman"/>
          <w:sz w:val="24"/>
          <w:szCs w:val="24"/>
          <w:lang w:val="en-US"/>
        </w:rPr>
        <w:t xml:space="preserve">of </w:t>
      </w:r>
      <w:r w:rsidRPr="00A52F11">
        <w:rPr>
          <w:rFonts w:ascii="Times New Roman" w:hAnsi="Times New Roman" w:cs="Times New Roman"/>
          <w:sz w:val="24"/>
          <w:szCs w:val="24"/>
          <w:lang w:val="en-US"/>
        </w:rPr>
        <w:t xml:space="preserve">freedom). </w:t>
      </w:r>
      <w:r w:rsidR="00DE0588" w:rsidRPr="00A52F11">
        <w:rPr>
          <w:rFonts w:ascii="Times New Roman" w:hAnsi="Times New Roman" w:cs="Times New Roman"/>
          <w:sz w:val="24"/>
          <w:szCs w:val="24"/>
          <w:lang w:val="en-US"/>
        </w:rPr>
        <w:t xml:space="preserve">The </w:t>
      </w:r>
      <w:r w:rsidR="00DE0588" w:rsidRPr="00A52F11">
        <w:rPr>
          <w:rFonts w:ascii="Times New Roman" w:hAnsi="Times New Roman" w:cs="Times New Roman"/>
          <w:i/>
          <w:sz w:val="24"/>
          <w:szCs w:val="24"/>
          <w:lang w:val="en-US"/>
        </w:rPr>
        <w:t xml:space="preserve">Council of Europe </w:t>
      </w:r>
      <w:r w:rsidR="00DE0588" w:rsidRPr="00A52F11">
        <w:rPr>
          <w:rFonts w:ascii="Times New Roman" w:hAnsi="Times New Roman" w:cs="Times New Roman"/>
          <w:iCs/>
          <w:sz w:val="24"/>
          <w:szCs w:val="24"/>
          <w:lang w:val="en-US"/>
        </w:rPr>
        <w:t xml:space="preserve">formulates this </w:t>
      </w:r>
      <w:r w:rsidRPr="00A52F11">
        <w:rPr>
          <w:rFonts w:ascii="Times New Roman" w:hAnsi="Times New Roman" w:cs="Times New Roman"/>
          <w:sz w:val="24"/>
          <w:szCs w:val="24"/>
          <w:lang w:val="en-US"/>
        </w:rPr>
        <w:t xml:space="preserve">approach, now predominant in Europe, as follows: </w:t>
      </w:r>
      <w:r w:rsidR="00DE0588" w:rsidRPr="00A52F11">
        <w:rPr>
          <w:rFonts w:ascii="Times New Roman" w:hAnsi="Times New Roman" w:cs="Times New Roman"/>
          <w:sz w:val="24"/>
          <w:szCs w:val="24"/>
          <w:lang w:val="en-US"/>
        </w:rPr>
        <w:t>“T</w:t>
      </w:r>
      <w:r w:rsidRPr="00A52F11">
        <w:rPr>
          <w:rFonts w:ascii="Times New Roman" w:hAnsi="Times New Roman" w:cs="Times New Roman"/>
          <w:sz w:val="24"/>
          <w:szCs w:val="24"/>
          <w:lang w:val="en-US"/>
        </w:rPr>
        <w:t>he rule of law ... is one of the three fundamental principles ... together with pluralist democracy and respect for the human rights; these three principles are closely interconnected: preserving and promoting human rights, democracy</w:t>
      </w:r>
      <w:r w:rsidR="00DE0588"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xml:space="preserve"> and the rule of law is nowadays even seen as a single objective ... there can be ... no rule of law without democracy and respect for human rights ...</w:t>
      </w:r>
      <w:r w:rsidR="00DE0588" w:rsidRPr="00A52F11">
        <w:rPr>
          <w:rFonts w:ascii="Times New Roman" w:hAnsi="Times New Roman" w:cs="Times New Roman"/>
          <w:sz w:val="24"/>
          <w:szCs w:val="24"/>
          <w:lang w:val="en-US"/>
        </w:rPr>
        <w:t>”</w:t>
      </w:r>
      <w:r w:rsidRPr="00A52F11">
        <w:rPr>
          <w:rStyle w:val="Funotenzeichen"/>
          <w:rFonts w:ascii="Times New Roman" w:hAnsi="Times New Roman" w:cs="Times New Roman"/>
          <w:sz w:val="24"/>
          <w:szCs w:val="24"/>
          <w:lang w:val="en-US"/>
        </w:rPr>
        <w:footnoteReference w:id="7"/>
      </w:r>
      <w:r w:rsidR="00DE0588" w:rsidRPr="00A52F11">
        <w:rPr>
          <w:rFonts w:ascii="Times New Roman" w:hAnsi="Times New Roman" w:cs="Times New Roman"/>
          <w:sz w:val="24"/>
          <w:szCs w:val="24"/>
          <w:lang w:val="en-US"/>
        </w:rPr>
        <w:t xml:space="preserve">. </w:t>
      </w:r>
      <w:r w:rsidRPr="00A52F11">
        <w:rPr>
          <w:rFonts w:ascii="Times New Roman" w:hAnsi="Times New Roman" w:cs="Times New Roman"/>
          <w:sz w:val="24"/>
          <w:szCs w:val="24"/>
          <w:lang w:val="en-US"/>
        </w:rPr>
        <w:t xml:space="preserve">The rule of law in the sense of the formal rule of law thus forms an </w:t>
      </w:r>
      <w:proofErr w:type="gramStart"/>
      <w:r w:rsidRPr="00A52F11">
        <w:rPr>
          <w:rFonts w:ascii="Times New Roman" w:hAnsi="Times New Roman" w:cs="Times New Roman"/>
          <w:sz w:val="24"/>
          <w:szCs w:val="24"/>
          <w:lang w:val="en-US"/>
        </w:rPr>
        <w:t xml:space="preserve">inseparable </w:t>
      </w:r>
      <w:r w:rsidR="00DE0588" w:rsidRPr="00A52F11">
        <w:rPr>
          <w:rFonts w:ascii="Times New Roman" w:hAnsi="Times New Roman" w:cs="Times New Roman"/>
          <w:sz w:val="24"/>
          <w:szCs w:val="24"/>
          <w:lang w:val="en-US"/>
        </w:rPr>
        <w:t>“triumvirs”</w:t>
      </w:r>
      <w:proofErr w:type="gramEnd"/>
      <w:r w:rsidRPr="00A52F11">
        <w:rPr>
          <w:rFonts w:ascii="Times New Roman" w:hAnsi="Times New Roman" w:cs="Times New Roman"/>
          <w:sz w:val="24"/>
          <w:szCs w:val="24"/>
          <w:lang w:val="en-US"/>
        </w:rPr>
        <w:t xml:space="preserve"> together with a democratic community and the guarantee of individual rights. </w:t>
      </w:r>
    </w:p>
    <w:p w14:paraId="4FEC1F9E" w14:textId="731D68CC" w:rsidR="004A2621" w:rsidRPr="00A52F11" w:rsidRDefault="004A2621" w:rsidP="00A52F11">
      <w:pPr>
        <w:spacing w:before="120" w:after="120" w:line="240" w:lineRule="auto"/>
        <w:jc w:val="both"/>
        <w:rPr>
          <w:rFonts w:ascii="Times New Roman" w:hAnsi="Times New Roman" w:cs="Times New Roman"/>
          <w:sz w:val="24"/>
          <w:szCs w:val="24"/>
          <w:lang w:val="en-US"/>
        </w:rPr>
      </w:pPr>
      <w:r w:rsidRPr="00A52F11">
        <w:rPr>
          <w:rFonts w:ascii="Times New Roman" w:hAnsi="Times New Roman" w:cs="Times New Roman"/>
          <w:sz w:val="24"/>
          <w:szCs w:val="24"/>
          <w:lang w:val="en-US"/>
        </w:rPr>
        <w:t xml:space="preserve">With this link to democracy on the one hand and respect for individual human rights on the other, the self-understanding of the rule of law expands. </w:t>
      </w:r>
      <w:r w:rsidR="00DE0588" w:rsidRPr="00A52F11">
        <w:rPr>
          <w:rFonts w:ascii="Times New Roman" w:hAnsi="Times New Roman" w:cs="Times New Roman"/>
          <w:sz w:val="24"/>
          <w:szCs w:val="24"/>
          <w:lang w:val="en-US"/>
        </w:rPr>
        <w:t>It</w:t>
      </w:r>
      <w:r w:rsidRPr="00A52F11">
        <w:rPr>
          <w:rFonts w:ascii="Times New Roman" w:hAnsi="Times New Roman" w:cs="Times New Roman"/>
          <w:sz w:val="24"/>
          <w:szCs w:val="24"/>
          <w:lang w:val="en-US"/>
        </w:rPr>
        <w:t xml:space="preserve"> also serves to guarantee fundamental procedural rights</w:t>
      </w:r>
      <w:r w:rsidR="00DE0588" w:rsidRPr="00A52F11">
        <w:rPr>
          <w:rFonts w:ascii="Times New Roman" w:hAnsi="Times New Roman" w:cs="Times New Roman"/>
          <w:sz w:val="24"/>
          <w:szCs w:val="24"/>
          <w:lang w:val="en-US"/>
        </w:rPr>
        <w:t xml:space="preserve"> or</w:t>
      </w:r>
      <w:r w:rsidRPr="00A52F11">
        <w:rPr>
          <w:rFonts w:ascii="Times New Roman" w:hAnsi="Times New Roman" w:cs="Times New Roman"/>
          <w:sz w:val="24"/>
          <w:szCs w:val="24"/>
          <w:lang w:val="en-US"/>
        </w:rPr>
        <w:t xml:space="preserve"> </w:t>
      </w:r>
      <w:r w:rsidR="00DE0588"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judicial human rights</w:t>
      </w:r>
      <w:r w:rsidR="00DE0588"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xml:space="preserve"> such as the right of access to justice, the right to be heard, the criminal law principles of </w:t>
      </w:r>
      <w:r w:rsidR="00DE0588"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n</w:t>
      </w:r>
      <w:r w:rsidR="00DE0588" w:rsidRPr="00A52F11">
        <w:rPr>
          <w:rFonts w:ascii="Times New Roman" w:hAnsi="Times New Roman" w:cs="Times New Roman"/>
          <w:sz w:val="24"/>
          <w:szCs w:val="24"/>
          <w:lang w:val="en-US"/>
        </w:rPr>
        <w:t>on</w:t>
      </w:r>
      <w:r w:rsidRPr="00A52F11">
        <w:rPr>
          <w:rFonts w:ascii="Times New Roman" w:hAnsi="Times New Roman" w:cs="Times New Roman"/>
          <w:sz w:val="24"/>
          <w:szCs w:val="24"/>
          <w:lang w:val="en-US"/>
        </w:rPr>
        <w:t xml:space="preserve"> bis in idem</w:t>
      </w:r>
      <w:r w:rsidR="00DE0588"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xml:space="preserve"> and the presumption of innocence, or the right to a fair trial</w:t>
      </w:r>
      <w:r w:rsidRPr="00A52F11">
        <w:rPr>
          <w:rStyle w:val="Funotenzeichen"/>
          <w:rFonts w:ascii="Times New Roman" w:hAnsi="Times New Roman" w:cs="Times New Roman"/>
          <w:sz w:val="24"/>
          <w:szCs w:val="24"/>
          <w:lang w:val="en-US"/>
        </w:rPr>
        <w:footnoteReference w:id="8"/>
      </w:r>
      <w:r w:rsidR="00DE0588"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xml:space="preserve"> </w:t>
      </w:r>
      <w:r w:rsidR="00DE0588" w:rsidRPr="00A52F11">
        <w:rPr>
          <w:rFonts w:ascii="Times New Roman" w:hAnsi="Times New Roman" w:cs="Times New Roman"/>
          <w:sz w:val="24"/>
          <w:szCs w:val="24"/>
          <w:lang w:val="en-US"/>
        </w:rPr>
        <w:t>among other rights</w:t>
      </w:r>
      <w:r w:rsidRPr="00A52F11">
        <w:rPr>
          <w:rFonts w:ascii="Times New Roman" w:hAnsi="Times New Roman" w:cs="Times New Roman"/>
          <w:sz w:val="24"/>
          <w:szCs w:val="24"/>
          <w:lang w:val="en-US"/>
        </w:rPr>
        <w:t>. Within the framework of European integration and cooperation</w:t>
      </w:r>
      <w:r w:rsidR="00DE0588" w:rsidRPr="00A52F11">
        <w:rPr>
          <w:rFonts w:ascii="Times New Roman" w:hAnsi="Times New Roman" w:cs="Times New Roman"/>
          <w:sz w:val="24"/>
          <w:szCs w:val="24"/>
          <w:lang w:val="en-US"/>
        </w:rPr>
        <w:t xml:space="preserve"> – </w:t>
      </w:r>
      <w:r w:rsidRPr="00A52F11">
        <w:rPr>
          <w:rFonts w:ascii="Times New Roman" w:hAnsi="Times New Roman" w:cs="Times New Roman"/>
          <w:sz w:val="24"/>
          <w:szCs w:val="24"/>
          <w:lang w:val="en-US"/>
        </w:rPr>
        <w:t xml:space="preserve">as it has become manifest in the European Union and the Council of Europe together with the European Court of Human Rights which </w:t>
      </w:r>
      <w:r w:rsidR="00DE0588" w:rsidRPr="00A52F11">
        <w:rPr>
          <w:rFonts w:ascii="Times New Roman" w:hAnsi="Times New Roman" w:cs="Times New Roman"/>
          <w:sz w:val="24"/>
          <w:szCs w:val="24"/>
          <w:lang w:val="en-US"/>
        </w:rPr>
        <w:t>became</w:t>
      </w:r>
      <w:r w:rsidRPr="00A52F11">
        <w:rPr>
          <w:rFonts w:ascii="Times New Roman" w:hAnsi="Times New Roman" w:cs="Times New Roman"/>
          <w:sz w:val="24"/>
          <w:szCs w:val="24"/>
          <w:lang w:val="en-US"/>
        </w:rPr>
        <w:t xml:space="preserve"> responsible for the interpretation of the European Convention on Human Rights</w:t>
      </w:r>
      <w:r w:rsidR="00DE0588" w:rsidRPr="00A52F11">
        <w:rPr>
          <w:rFonts w:ascii="Times New Roman" w:hAnsi="Times New Roman" w:cs="Times New Roman"/>
          <w:sz w:val="24"/>
          <w:szCs w:val="24"/>
          <w:lang w:val="en-US"/>
        </w:rPr>
        <w:t xml:space="preserve"> </w:t>
      </w:r>
      <w:r w:rsidRPr="00A52F11">
        <w:rPr>
          <w:rFonts w:ascii="Times New Roman" w:hAnsi="Times New Roman" w:cs="Times New Roman"/>
          <w:sz w:val="24"/>
          <w:szCs w:val="24"/>
          <w:lang w:val="en-US"/>
        </w:rPr>
        <w:t>in the period after the Second World War</w:t>
      </w:r>
      <w:r w:rsidR="00DE0588" w:rsidRPr="00A52F11">
        <w:rPr>
          <w:rFonts w:ascii="Times New Roman" w:hAnsi="Times New Roman" w:cs="Times New Roman"/>
          <w:sz w:val="24"/>
          <w:szCs w:val="24"/>
          <w:lang w:val="en-US"/>
        </w:rPr>
        <w:t xml:space="preserve"> –</w:t>
      </w:r>
      <w:r w:rsidRPr="00A52F11">
        <w:rPr>
          <w:rFonts w:ascii="Times New Roman" w:hAnsi="Times New Roman" w:cs="Times New Roman"/>
          <w:sz w:val="24"/>
          <w:szCs w:val="24"/>
          <w:lang w:val="en-US"/>
        </w:rPr>
        <w:t xml:space="preserve"> there is a</w:t>
      </w:r>
      <w:r w:rsidR="00DE0588" w:rsidRPr="00A52F11">
        <w:rPr>
          <w:rFonts w:ascii="Times New Roman" w:hAnsi="Times New Roman" w:cs="Times New Roman"/>
          <w:sz w:val="24"/>
          <w:szCs w:val="24"/>
          <w:lang w:val="en-US"/>
        </w:rPr>
        <w:t>n increasing</w:t>
      </w:r>
      <w:r w:rsidRPr="00A52F11">
        <w:rPr>
          <w:rFonts w:ascii="Times New Roman" w:hAnsi="Times New Roman" w:cs="Times New Roman"/>
          <w:sz w:val="24"/>
          <w:szCs w:val="24"/>
          <w:lang w:val="en-US"/>
        </w:rPr>
        <w:t xml:space="preserve"> merging of the Anglo-Saxon rule of law, which is traditionally more oriented towards process and form, an continental European understanding, which, following the German </w:t>
      </w:r>
      <w:r w:rsidR="00904A46" w:rsidRPr="00A52F11">
        <w:rPr>
          <w:rFonts w:ascii="Times New Roman" w:hAnsi="Times New Roman" w:cs="Times New Roman"/>
          <w:sz w:val="24"/>
          <w:szCs w:val="24"/>
          <w:lang w:val="en-US"/>
        </w:rPr>
        <w:t>“</w:t>
      </w:r>
      <w:proofErr w:type="spellStart"/>
      <w:r w:rsidRPr="00A52F11">
        <w:rPr>
          <w:rFonts w:ascii="Times New Roman" w:hAnsi="Times New Roman" w:cs="Times New Roman"/>
          <w:sz w:val="24"/>
          <w:szCs w:val="24"/>
          <w:lang w:val="en-US"/>
        </w:rPr>
        <w:t>Recht</w:t>
      </w:r>
      <w:r w:rsidR="00F67E52" w:rsidRPr="00A52F11">
        <w:rPr>
          <w:rFonts w:ascii="Times New Roman" w:hAnsi="Times New Roman" w:cs="Times New Roman"/>
          <w:sz w:val="24"/>
          <w:szCs w:val="24"/>
          <w:lang w:val="en-US"/>
        </w:rPr>
        <w:t>s</w:t>
      </w:r>
      <w:r w:rsidRPr="00A52F11">
        <w:rPr>
          <w:rFonts w:ascii="Times New Roman" w:hAnsi="Times New Roman" w:cs="Times New Roman"/>
          <w:sz w:val="24"/>
          <w:szCs w:val="24"/>
          <w:lang w:val="en-US"/>
        </w:rPr>
        <w:t>staat</w:t>
      </w:r>
      <w:proofErr w:type="spellEnd"/>
      <w:r w:rsidR="00904A46"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xml:space="preserve"> </w:t>
      </w:r>
      <w:r w:rsidR="00904A46" w:rsidRPr="00A52F11">
        <w:rPr>
          <w:rFonts w:ascii="Times New Roman" w:hAnsi="Times New Roman" w:cs="Times New Roman"/>
          <w:sz w:val="24"/>
          <w:szCs w:val="24"/>
          <w:lang w:val="en-US"/>
        </w:rPr>
        <w:t>and/</w:t>
      </w:r>
      <w:r w:rsidRPr="00A52F11">
        <w:rPr>
          <w:rFonts w:ascii="Times New Roman" w:hAnsi="Times New Roman" w:cs="Times New Roman"/>
          <w:sz w:val="24"/>
          <w:szCs w:val="24"/>
          <w:lang w:val="en-US"/>
        </w:rPr>
        <w:t xml:space="preserve">or the French </w:t>
      </w:r>
      <w:r w:rsidR="00904A46" w:rsidRPr="00A52F11">
        <w:rPr>
          <w:rFonts w:ascii="Times New Roman" w:hAnsi="Times New Roman" w:cs="Times New Roman"/>
          <w:sz w:val="24"/>
          <w:szCs w:val="24"/>
          <w:lang w:val="en-US"/>
        </w:rPr>
        <w:t>“</w:t>
      </w:r>
      <w:r w:rsidR="00F67E52" w:rsidRPr="00A52F11">
        <w:rPr>
          <w:rFonts w:ascii="Times New Roman" w:hAnsi="Times New Roman" w:cs="Times New Roman"/>
          <w:sz w:val="24"/>
          <w:szCs w:val="24"/>
          <w:lang w:val="en-US"/>
        </w:rPr>
        <w:t>É</w:t>
      </w:r>
      <w:r w:rsidRPr="00A52F11">
        <w:rPr>
          <w:rFonts w:ascii="Times New Roman" w:hAnsi="Times New Roman" w:cs="Times New Roman"/>
          <w:sz w:val="24"/>
          <w:szCs w:val="24"/>
          <w:lang w:val="en-US"/>
        </w:rPr>
        <w:t xml:space="preserve">tat </w:t>
      </w:r>
      <w:r w:rsidR="00E04D4A" w:rsidRPr="00A52F11">
        <w:rPr>
          <w:rFonts w:ascii="Times New Roman" w:hAnsi="Times New Roman" w:cs="Times New Roman"/>
          <w:sz w:val="24"/>
          <w:szCs w:val="24"/>
          <w:lang w:val="en-US"/>
        </w:rPr>
        <w:t xml:space="preserve">de </w:t>
      </w:r>
      <w:r w:rsidRPr="00A52F11">
        <w:rPr>
          <w:rFonts w:ascii="Times New Roman" w:hAnsi="Times New Roman" w:cs="Times New Roman"/>
          <w:sz w:val="24"/>
          <w:szCs w:val="24"/>
          <w:lang w:val="en-US"/>
        </w:rPr>
        <w:t>Droit</w:t>
      </w:r>
      <w:r w:rsidR="00904A46"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xml:space="preserve">, integrates the </w:t>
      </w:r>
      <w:r w:rsidRPr="00A52F11">
        <w:rPr>
          <w:rFonts w:ascii="Times New Roman" w:hAnsi="Times New Roman" w:cs="Times New Roman"/>
          <w:sz w:val="24"/>
          <w:szCs w:val="24"/>
          <w:lang w:val="en-US"/>
        </w:rPr>
        <w:lastRenderedPageBreak/>
        <w:t xml:space="preserve">protection of </w:t>
      </w:r>
      <w:r w:rsidR="00904A46" w:rsidRPr="00A52F11">
        <w:rPr>
          <w:rFonts w:ascii="Times New Roman" w:hAnsi="Times New Roman" w:cs="Times New Roman"/>
          <w:sz w:val="24"/>
          <w:szCs w:val="24"/>
          <w:lang w:val="en-US"/>
        </w:rPr>
        <w:t xml:space="preserve">(basic) </w:t>
      </w:r>
      <w:r w:rsidRPr="00A52F11">
        <w:rPr>
          <w:rFonts w:ascii="Times New Roman" w:hAnsi="Times New Roman" w:cs="Times New Roman"/>
          <w:sz w:val="24"/>
          <w:szCs w:val="24"/>
          <w:lang w:val="en-US"/>
        </w:rPr>
        <w:t xml:space="preserve">fundamental rights </w:t>
      </w:r>
      <w:r w:rsidR="00904A46" w:rsidRPr="00A52F11">
        <w:rPr>
          <w:rFonts w:ascii="Times New Roman" w:hAnsi="Times New Roman" w:cs="Times New Roman"/>
          <w:sz w:val="24"/>
          <w:szCs w:val="24"/>
          <w:lang w:val="en-US"/>
        </w:rPr>
        <w:t>in this respect</w:t>
      </w:r>
      <w:r w:rsidRPr="00A52F11">
        <w:rPr>
          <w:rStyle w:val="Funotenzeichen"/>
          <w:rFonts w:ascii="Times New Roman" w:hAnsi="Times New Roman" w:cs="Times New Roman"/>
          <w:sz w:val="24"/>
          <w:szCs w:val="24"/>
          <w:lang w:val="en-US"/>
        </w:rPr>
        <w:footnoteReference w:id="9"/>
      </w:r>
      <w:r w:rsidR="00904A46" w:rsidRPr="00A52F11">
        <w:rPr>
          <w:rFonts w:ascii="Times New Roman" w:hAnsi="Times New Roman" w:cs="Times New Roman"/>
          <w:sz w:val="24"/>
          <w:szCs w:val="24"/>
          <w:lang w:val="en-US"/>
        </w:rPr>
        <w:t xml:space="preserve">. The </w:t>
      </w:r>
      <w:r w:rsidRPr="00A52F11">
        <w:rPr>
          <w:rFonts w:ascii="Times New Roman" w:hAnsi="Times New Roman" w:cs="Times New Roman"/>
          <w:sz w:val="24"/>
          <w:szCs w:val="24"/>
          <w:lang w:val="en-US"/>
        </w:rPr>
        <w:t xml:space="preserve">ECHR </w:t>
      </w:r>
      <w:proofErr w:type="gramStart"/>
      <w:r w:rsidRPr="00A52F11">
        <w:rPr>
          <w:rFonts w:ascii="Times New Roman" w:hAnsi="Times New Roman" w:cs="Times New Roman"/>
          <w:sz w:val="24"/>
          <w:szCs w:val="24"/>
          <w:lang w:val="en-US"/>
        </w:rPr>
        <w:t>in particular tends</w:t>
      </w:r>
      <w:proofErr w:type="gramEnd"/>
      <w:r w:rsidRPr="00A52F11">
        <w:rPr>
          <w:rFonts w:ascii="Times New Roman" w:hAnsi="Times New Roman" w:cs="Times New Roman"/>
          <w:sz w:val="24"/>
          <w:szCs w:val="24"/>
          <w:lang w:val="en-US"/>
        </w:rPr>
        <w:t xml:space="preserve"> to link the protection of human rights with the rule of law: </w:t>
      </w:r>
      <w:r w:rsidR="00904A46"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A state based on the rule of law has the duty to employ the necessary measures to uphold the law on its territory and to ensure the security of all as well as the enjoyment of human rights</w:t>
      </w:r>
      <w:r w:rsidR="00904A46" w:rsidRPr="00A52F11">
        <w:rPr>
          <w:rFonts w:ascii="Times New Roman" w:hAnsi="Times New Roman" w:cs="Times New Roman"/>
          <w:sz w:val="24"/>
          <w:szCs w:val="24"/>
          <w:lang w:val="en-US"/>
        </w:rPr>
        <w:t>”</w:t>
      </w:r>
      <w:r w:rsidRPr="00A52F11">
        <w:rPr>
          <w:rStyle w:val="Funotenzeichen"/>
          <w:rFonts w:ascii="Times New Roman" w:hAnsi="Times New Roman" w:cs="Times New Roman"/>
          <w:sz w:val="24"/>
          <w:szCs w:val="24"/>
          <w:lang w:val="en-US"/>
        </w:rPr>
        <w:footnoteReference w:id="10"/>
      </w:r>
      <w:r w:rsidR="00904A46" w:rsidRPr="00A52F11">
        <w:rPr>
          <w:rFonts w:ascii="Times New Roman" w:hAnsi="Times New Roman" w:cs="Times New Roman"/>
          <w:sz w:val="24"/>
          <w:szCs w:val="24"/>
          <w:lang w:val="en-US"/>
        </w:rPr>
        <w:t xml:space="preserve">. </w:t>
      </w:r>
      <w:r w:rsidRPr="00A52F11">
        <w:rPr>
          <w:rFonts w:ascii="Times New Roman" w:hAnsi="Times New Roman" w:cs="Times New Roman"/>
          <w:sz w:val="24"/>
          <w:szCs w:val="24"/>
          <w:lang w:val="en-US"/>
        </w:rPr>
        <w:t xml:space="preserve">The term </w:t>
      </w:r>
      <w:r w:rsidR="00904A46"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human rights</w:t>
      </w:r>
      <w:r w:rsidR="00904A46"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xml:space="preserve"> </w:t>
      </w:r>
      <w:proofErr w:type="gramStart"/>
      <w:r w:rsidRPr="00A52F11">
        <w:rPr>
          <w:rFonts w:ascii="Times New Roman" w:hAnsi="Times New Roman" w:cs="Times New Roman"/>
          <w:sz w:val="24"/>
          <w:szCs w:val="24"/>
          <w:lang w:val="en-US"/>
        </w:rPr>
        <w:t>generally</w:t>
      </w:r>
      <w:proofErr w:type="gramEnd"/>
      <w:r w:rsidRPr="00A52F11">
        <w:rPr>
          <w:rFonts w:ascii="Times New Roman" w:hAnsi="Times New Roman" w:cs="Times New Roman"/>
          <w:sz w:val="24"/>
          <w:szCs w:val="24"/>
          <w:lang w:val="en-US"/>
        </w:rPr>
        <w:t xml:space="preserve"> stands for pre-positive law, i.e.</w:t>
      </w:r>
      <w:r w:rsidR="00904A46"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xml:space="preserve"> law which is not subject to (simple) legislation</w:t>
      </w:r>
      <w:r w:rsidR="00904A46" w:rsidRPr="00A52F11">
        <w:rPr>
          <w:rFonts w:ascii="Times New Roman" w:hAnsi="Times New Roman" w:cs="Times New Roman"/>
          <w:sz w:val="24"/>
          <w:szCs w:val="24"/>
          <w:lang w:val="en-US"/>
        </w:rPr>
        <w:t>, either because it is laid down in a constitution or because of traditionally developed common law</w:t>
      </w:r>
      <w:r w:rsidRPr="00A52F11">
        <w:rPr>
          <w:rFonts w:ascii="Times New Roman" w:hAnsi="Times New Roman" w:cs="Times New Roman"/>
          <w:sz w:val="24"/>
          <w:szCs w:val="24"/>
          <w:lang w:val="en-US"/>
        </w:rPr>
        <w:t>. Since higher-ranking law becomes the standard and at the same time the limit of state action, such</w:t>
      </w:r>
      <w:r w:rsidR="00904A46" w:rsidRPr="00A52F11">
        <w:rPr>
          <w:rFonts w:ascii="Times New Roman" w:hAnsi="Times New Roman" w:cs="Times New Roman"/>
          <w:sz w:val="24"/>
          <w:szCs w:val="24"/>
          <w:lang w:val="en-US"/>
        </w:rPr>
        <w:t xml:space="preserve"> a</w:t>
      </w:r>
      <w:r w:rsidRPr="00A52F11">
        <w:rPr>
          <w:rFonts w:ascii="Times New Roman" w:hAnsi="Times New Roman" w:cs="Times New Roman"/>
          <w:sz w:val="24"/>
          <w:szCs w:val="24"/>
          <w:lang w:val="en-US"/>
        </w:rPr>
        <w:t xml:space="preserve"> law can</w:t>
      </w:r>
      <w:r w:rsidR="00904A46" w:rsidRPr="00A52F11">
        <w:rPr>
          <w:rFonts w:ascii="Times New Roman" w:hAnsi="Times New Roman" w:cs="Times New Roman"/>
          <w:sz w:val="24"/>
          <w:szCs w:val="24"/>
          <w:lang w:val="en-US"/>
        </w:rPr>
        <w:t xml:space="preserve"> only</w:t>
      </w:r>
      <w:r w:rsidRPr="00A52F11">
        <w:rPr>
          <w:rFonts w:ascii="Times New Roman" w:hAnsi="Times New Roman" w:cs="Times New Roman"/>
          <w:sz w:val="24"/>
          <w:szCs w:val="24"/>
          <w:lang w:val="en-US"/>
        </w:rPr>
        <w:t xml:space="preserve"> be effective</w:t>
      </w:r>
      <w:r w:rsidR="00904A46" w:rsidRPr="00A52F11">
        <w:rPr>
          <w:rFonts w:ascii="Times New Roman" w:hAnsi="Times New Roman" w:cs="Times New Roman"/>
          <w:sz w:val="24"/>
          <w:szCs w:val="24"/>
          <w:lang w:val="en-US"/>
        </w:rPr>
        <w:t xml:space="preserve"> when it</w:t>
      </w:r>
      <w:r w:rsidRPr="00A52F11">
        <w:rPr>
          <w:rFonts w:ascii="Times New Roman" w:hAnsi="Times New Roman" w:cs="Times New Roman"/>
          <w:sz w:val="24"/>
          <w:szCs w:val="24"/>
          <w:lang w:val="en-US"/>
        </w:rPr>
        <w:t xml:space="preserve"> does not contradict this higher-ranking law. </w:t>
      </w:r>
    </w:p>
    <w:p w14:paraId="3085D927" w14:textId="471812B8" w:rsidR="004A2621" w:rsidRPr="00A52F11" w:rsidRDefault="004A2621" w:rsidP="00A52F11">
      <w:pPr>
        <w:spacing w:before="120" w:after="120" w:line="240" w:lineRule="auto"/>
        <w:jc w:val="both"/>
        <w:rPr>
          <w:rFonts w:ascii="Times New Roman" w:hAnsi="Times New Roman" w:cs="Times New Roman"/>
          <w:sz w:val="24"/>
          <w:szCs w:val="24"/>
          <w:lang w:val="en-US"/>
        </w:rPr>
      </w:pPr>
      <w:r w:rsidRPr="00A52F11">
        <w:rPr>
          <w:rFonts w:ascii="Times New Roman" w:hAnsi="Times New Roman" w:cs="Times New Roman"/>
          <w:sz w:val="24"/>
          <w:szCs w:val="24"/>
          <w:lang w:val="en-US"/>
        </w:rPr>
        <w:t xml:space="preserve">Understood in this way, the rule of law is based on three central pillars from a European perspective: In addition to the formal requirements of legality (principle of legality) and due process mentioned above, the third pillar in the form of the </w:t>
      </w:r>
      <w:r w:rsidR="00904A46"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ind</w:t>
      </w:r>
      <w:r w:rsidR="00904A46" w:rsidRPr="00A52F11">
        <w:rPr>
          <w:rFonts w:ascii="Times New Roman" w:hAnsi="Times New Roman" w:cs="Times New Roman"/>
          <w:sz w:val="24"/>
          <w:szCs w:val="24"/>
          <w:lang w:val="en-US"/>
        </w:rPr>
        <w:t>e</w:t>
      </w:r>
      <w:r w:rsidRPr="00A52F11">
        <w:rPr>
          <w:rFonts w:ascii="Times New Roman" w:hAnsi="Times New Roman" w:cs="Times New Roman"/>
          <w:sz w:val="24"/>
          <w:szCs w:val="24"/>
          <w:lang w:val="en-US"/>
        </w:rPr>
        <w:t>pendent and impartial judiciary</w:t>
      </w:r>
      <w:r w:rsidR="00C44AAD"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xml:space="preserve"> plays a central role in determining the permissible content of the law and the enforcement of the law. It is incumbent upon </w:t>
      </w:r>
      <w:r w:rsidR="00904A46" w:rsidRPr="00A52F11">
        <w:rPr>
          <w:rFonts w:ascii="Times New Roman" w:hAnsi="Times New Roman" w:cs="Times New Roman"/>
          <w:sz w:val="24"/>
          <w:szCs w:val="24"/>
          <w:lang w:val="en-US"/>
        </w:rPr>
        <w:t>the</w:t>
      </w:r>
      <w:r w:rsidRPr="00A52F11">
        <w:rPr>
          <w:rFonts w:ascii="Times New Roman" w:hAnsi="Times New Roman" w:cs="Times New Roman"/>
          <w:sz w:val="24"/>
          <w:szCs w:val="24"/>
          <w:lang w:val="en-US"/>
        </w:rPr>
        <w:t xml:space="preserve"> determin</w:t>
      </w:r>
      <w:r w:rsidR="00904A46" w:rsidRPr="00A52F11">
        <w:rPr>
          <w:rFonts w:ascii="Times New Roman" w:hAnsi="Times New Roman" w:cs="Times New Roman"/>
          <w:sz w:val="24"/>
          <w:szCs w:val="24"/>
          <w:lang w:val="en-US"/>
        </w:rPr>
        <w:t>ation of</w:t>
      </w:r>
      <w:r w:rsidRPr="00A52F11">
        <w:rPr>
          <w:rFonts w:ascii="Times New Roman" w:hAnsi="Times New Roman" w:cs="Times New Roman"/>
          <w:sz w:val="24"/>
          <w:szCs w:val="24"/>
          <w:lang w:val="en-US"/>
        </w:rPr>
        <w:t xml:space="preserve"> the proportionality (</w:t>
      </w:r>
      <w:r w:rsidR="00904A46"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reasonableness</w:t>
      </w:r>
      <w:r w:rsidR="00904A46"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of positive law to higher-ranking law, mean</w:t>
      </w:r>
      <w:r w:rsidR="00904A46" w:rsidRPr="00A52F11">
        <w:rPr>
          <w:rFonts w:ascii="Times New Roman" w:hAnsi="Times New Roman" w:cs="Times New Roman"/>
          <w:sz w:val="24"/>
          <w:szCs w:val="24"/>
          <w:lang w:val="en-US"/>
        </w:rPr>
        <w:t>ing</w:t>
      </w:r>
      <w:r w:rsidRPr="00A52F11">
        <w:rPr>
          <w:rFonts w:ascii="Times New Roman" w:hAnsi="Times New Roman" w:cs="Times New Roman"/>
          <w:sz w:val="24"/>
          <w:szCs w:val="24"/>
          <w:lang w:val="en-US"/>
        </w:rPr>
        <w:t xml:space="preserve"> that it must both interpret the content of existing laws and determine the limits of higher</w:t>
      </w:r>
      <w:r w:rsidR="00904A46" w:rsidRPr="00A52F11">
        <w:rPr>
          <w:rFonts w:ascii="Times New Roman" w:hAnsi="Times New Roman" w:cs="Times New Roman"/>
          <w:sz w:val="24"/>
          <w:szCs w:val="24"/>
          <w:lang w:val="en-US"/>
        </w:rPr>
        <w:noBreakHyphen/>
      </w:r>
      <w:r w:rsidRPr="00A52F11">
        <w:rPr>
          <w:rFonts w:ascii="Times New Roman" w:hAnsi="Times New Roman" w:cs="Times New Roman"/>
          <w:sz w:val="24"/>
          <w:szCs w:val="24"/>
          <w:lang w:val="en-US"/>
        </w:rPr>
        <w:t xml:space="preserve">ranking law. This gives the judge de facto the last word in determining the legal boundaries. </w:t>
      </w:r>
      <w:r w:rsidR="00904A46" w:rsidRPr="00A52F11">
        <w:rPr>
          <w:rFonts w:ascii="Times New Roman" w:hAnsi="Times New Roman" w:cs="Times New Roman"/>
          <w:sz w:val="24"/>
          <w:szCs w:val="24"/>
          <w:lang w:val="en-US"/>
        </w:rPr>
        <w:t>At the same time, t</w:t>
      </w:r>
      <w:r w:rsidRPr="00A52F11">
        <w:rPr>
          <w:rFonts w:ascii="Times New Roman" w:hAnsi="Times New Roman" w:cs="Times New Roman"/>
          <w:sz w:val="24"/>
          <w:szCs w:val="24"/>
          <w:lang w:val="en-US"/>
        </w:rPr>
        <w:t>here is an unmistakable danger that political guidelines will be determined by the judiciary</w:t>
      </w:r>
      <w:r w:rsidR="00904A46" w:rsidRPr="00A52F11">
        <w:rPr>
          <w:rFonts w:ascii="Times New Roman" w:hAnsi="Times New Roman" w:cs="Times New Roman"/>
          <w:sz w:val="24"/>
          <w:szCs w:val="24"/>
          <w:lang w:val="en-US"/>
        </w:rPr>
        <w:t>, who are also human and therefore fallible (“rule by men”),</w:t>
      </w:r>
      <w:r w:rsidRPr="00A52F11">
        <w:rPr>
          <w:rFonts w:ascii="Times New Roman" w:hAnsi="Times New Roman" w:cs="Times New Roman"/>
          <w:sz w:val="24"/>
          <w:szCs w:val="24"/>
          <w:lang w:val="en-US"/>
        </w:rPr>
        <w:t xml:space="preserve"> instead of the sovereign</w:t>
      </w:r>
      <w:r w:rsidR="00904A46" w:rsidRPr="00A52F11">
        <w:rPr>
          <w:rFonts w:ascii="Times New Roman" w:hAnsi="Times New Roman" w:cs="Times New Roman"/>
          <w:sz w:val="24"/>
          <w:szCs w:val="24"/>
          <w:lang w:val="en-US"/>
        </w:rPr>
        <w:t>ty.</w:t>
      </w:r>
      <w:r w:rsidRPr="00A52F11">
        <w:rPr>
          <w:rFonts w:ascii="Times New Roman" w:hAnsi="Times New Roman" w:cs="Times New Roman"/>
          <w:sz w:val="24"/>
          <w:szCs w:val="24"/>
          <w:lang w:val="en-US"/>
        </w:rPr>
        <w:t xml:space="preserve"> It is therefore essential to establish the judiciary in as objective a manner as possible. For this, it is essential to let it work independently of any (political) influence (independence of the judiciary), which cannot be achieved without the independence of the judiciary in the concert of the individual state powers (separation of powers</w:t>
      </w:r>
      <w:proofErr w:type="gramStart"/>
      <w:r w:rsidRPr="00A52F11">
        <w:rPr>
          <w:rFonts w:ascii="Times New Roman" w:hAnsi="Times New Roman" w:cs="Times New Roman"/>
          <w:sz w:val="24"/>
          <w:szCs w:val="24"/>
          <w:lang w:val="en-US"/>
        </w:rPr>
        <w:t>)</w:t>
      </w:r>
      <w:proofErr w:type="gramEnd"/>
      <w:r w:rsidR="00904A46" w:rsidRPr="00A52F11">
        <w:rPr>
          <w:rFonts w:ascii="Times New Roman" w:hAnsi="Times New Roman" w:cs="Times New Roman"/>
          <w:sz w:val="24"/>
          <w:szCs w:val="24"/>
          <w:lang w:val="en-US"/>
        </w:rPr>
        <w:t xml:space="preserve"> and</w:t>
      </w:r>
      <w:r w:rsidRPr="00A52F11">
        <w:rPr>
          <w:rFonts w:ascii="Times New Roman" w:hAnsi="Times New Roman" w:cs="Times New Roman"/>
          <w:sz w:val="24"/>
          <w:szCs w:val="24"/>
          <w:lang w:val="en-US"/>
        </w:rPr>
        <w:t xml:space="preserve"> which also requires the personal independence of the individual judges within the judiciary. On the other hand, the impartiality and objectivity of judicial decisions must be ensured by appropriate barriers to access, a high, traditionally anchored professional ethic</w:t>
      </w:r>
      <w:r w:rsidR="00904A46"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xml:space="preserve"> and a reasonable system of instances. </w:t>
      </w:r>
    </w:p>
    <w:p w14:paraId="19E86C7C" w14:textId="7E508ABA" w:rsidR="004A2621" w:rsidRPr="00A52F11" w:rsidRDefault="004A2621" w:rsidP="00A52F11">
      <w:pPr>
        <w:spacing w:before="120" w:after="120" w:line="240" w:lineRule="auto"/>
        <w:jc w:val="both"/>
        <w:rPr>
          <w:rFonts w:ascii="Times New Roman" w:hAnsi="Times New Roman" w:cs="Times New Roman"/>
          <w:sz w:val="24"/>
          <w:szCs w:val="24"/>
          <w:lang w:val="en-US"/>
        </w:rPr>
      </w:pPr>
      <w:r w:rsidRPr="00A52F11">
        <w:rPr>
          <w:rFonts w:ascii="Times New Roman" w:hAnsi="Times New Roman" w:cs="Times New Roman"/>
          <w:sz w:val="24"/>
          <w:szCs w:val="24"/>
          <w:lang w:val="en-US"/>
        </w:rPr>
        <w:t>Even if the implementation of the rule of law in Europe is by no means uniform and there are differences between common law and the</w:t>
      </w:r>
      <w:r w:rsidR="00904A46" w:rsidRPr="00A52F11">
        <w:rPr>
          <w:rFonts w:ascii="Times New Roman" w:hAnsi="Times New Roman" w:cs="Times New Roman"/>
          <w:sz w:val="24"/>
          <w:szCs w:val="24"/>
          <w:lang w:val="en-US"/>
        </w:rPr>
        <w:t xml:space="preserve"> law of</w:t>
      </w:r>
      <w:r w:rsidRPr="00A52F11">
        <w:rPr>
          <w:rFonts w:ascii="Times New Roman" w:hAnsi="Times New Roman" w:cs="Times New Roman"/>
          <w:sz w:val="24"/>
          <w:szCs w:val="24"/>
          <w:lang w:val="en-US"/>
        </w:rPr>
        <w:t xml:space="preserve"> continental Europe</w:t>
      </w:r>
      <w:r w:rsidR="00904A46" w:rsidRPr="00A52F11">
        <w:rPr>
          <w:rFonts w:ascii="Times New Roman" w:hAnsi="Times New Roman" w:cs="Times New Roman"/>
          <w:sz w:val="24"/>
          <w:szCs w:val="24"/>
          <w:lang w:val="en-US"/>
        </w:rPr>
        <w:t xml:space="preserve"> in particular</w:t>
      </w:r>
      <w:r w:rsidRPr="00A52F11">
        <w:rPr>
          <w:rFonts w:ascii="Times New Roman" w:hAnsi="Times New Roman" w:cs="Times New Roman"/>
          <w:sz w:val="24"/>
          <w:szCs w:val="24"/>
          <w:lang w:val="en-US"/>
        </w:rPr>
        <w:t>, primarily constitutional, legal systems, the common history of the European peoples</w:t>
      </w:r>
      <w:r w:rsidR="00904A46"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xml:space="preserve"> and the consistently accepted central idea of limiting state arbitrariness through the equality of all before the law reveal a more far-reaching common understanding of the rule of law even beyond pronouncements at transnational and international level. Even the supposed difference between common law and the rule of law proves, on closer examination, to be less clear than is generally assumed</w:t>
      </w:r>
      <w:r w:rsidRPr="00A52F11">
        <w:rPr>
          <w:rStyle w:val="Funotenzeichen"/>
          <w:rFonts w:ascii="Times New Roman" w:hAnsi="Times New Roman" w:cs="Times New Roman"/>
          <w:sz w:val="24"/>
          <w:szCs w:val="24"/>
          <w:lang w:val="en-US"/>
        </w:rPr>
        <w:footnoteReference w:id="11"/>
      </w:r>
      <w:r w:rsidR="00C94ADB" w:rsidRPr="00A52F11">
        <w:rPr>
          <w:rFonts w:ascii="Times New Roman" w:hAnsi="Times New Roman" w:cs="Times New Roman"/>
          <w:sz w:val="24"/>
          <w:szCs w:val="24"/>
          <w:lang w:val="en-US"/>
        </w:rPr>
        <w:t>, f</w:t>
      </w:r>
      <w:r w:rsidRPr="00A52F11">
        <w:rPr>
          <w:rFonts w:ascii="Times New Roman" w:hAnsi="Times New Roman" w:cs="Times New Roman"/>
          <w:sz w:val="24"/>
          <w:szCs w:val="24"/>
          <w:lang w:val="en-US"/>
        </w:rPr>
        <w:t>or here as there, pre-constitutional law is presumed to be the standard</w:t>
      </w:r>
      <w:r w:rsidR="00C94ADB"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xml:space="preserve"> not only of jurisprudence but also of political action. Where a constitution</w:t>
      </w:r>
      <w:r w:rsidR="00C94ADB" w:rsidRPr="00A52F11">
        <w:rPr>
          <w:rFonts w:ascii="Times New Roman" w:hAnsi="Times New Roman" w:cs="Times New Roman"/>
          <w:sz w:val="24"/>
          <w:szCs w:val="24"/>
          <w:lang w:val="en-US"/>
        </w:rPr>
        <w:t xml:space="preserve">– </w:t>
      </w:r>
      <w:r w:rsidR="00066ECA" w:rsidRPr="00A52F11">
        <w:rPr>
          <w:rFonts w:ascii="Times New Roman" w:hAnsi="Times New Roman" w:cs="Times New Roman"/>
          <w:sz w:val="24"/>
          <w:szCs w:val="24"/>
          <w:lang w:val="en-US"/>
        </w:rPr>
        <w:t>unlike</w:t>
      </w:r>
      <w:r w:rsidRPr="00A52F11">
        <w:rPr>
          <w:rFonts w:ascii="Times New Roman" w:hAnsi="Times New Roman" w:cs="Times New Roman"/>
          <w:sz w:val="24"/>
          <w:szCs w:val="24"/>
          <w:lang w:val="en-US"/>
        </w:rPr>
        <w:t xml:space="preserve"> in Germany, France, Italy, etc. </w:t>
      </w:r>
      <w:r w:rsidR="00C94ADB"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xml:space="preserve"> </w:t>
      </w:r>
      <w:r w:rsidR="00C44AAD" w:rsidRPr="00A52F11">
        <w:rPr>
          <w:rFonts w:ascii="Times New Roman" w:hAnsi="Times New Roman" w:cs="Times New Roman"/>
          <w:sz w:val="24"/>
          <w:szCs w:val="24"/>
          <w:lang w:val="en-US"/>
        </w:rPr>
        <w:t xml:space="preserve">is lacking, </w:t>
      </w:r>
      <w:r w:rsidRPr="00A52F11">
        <w:rPr>
          <w:rFonts w:ascii="Times New Roman" w:hAnsi="Times New Roman" w:cs="Times New Roman"/>
          <w:sz w:val="24"/>
          <w:szCs w:val="24"/>
          <w:lang w:val="en-US"/>
        </w:rPr>
        <w:t xml:space="preserve">common law, understood as customary and judicial law, provides the appropriate standard. This also applies to the English parliament, which, unlike its continental European counterparts, is legally unbound due to the lack of a constitutional court, but which </w:t>
      </w:r>
      <w:r w:rsidR="00C94ADB" w:rsidRPr="00A52F11">
        <w:rPr>
          <w:rFonts w:ascii="Times New Roman" w:hAnsi="Times New Roman" w:cs="Times New Roman"/>
          <w:sz w:val="24"/>
          <w:szCs w:val="24"/>
          <w:lang w:val="en-US"/>
        </w:rPr>
        <w:t xml:space="preserve">due to its overriding social importance to </w:t>
      </w:r>
      <w:r w:rsidRPr="00A52F11">
        <w:rPr>
          <w:rFonts w:ascii="Times New Roman" w:hAnsi="Times New Roman" w:cs="Times New Roman"/>
          <w:sz w:val="24"/>
          <w:szCs w:val="24"/>
          <w:lang w:val="en-US"/>
        </w:rPr>
        <w:t xml:space="preserve">is de facto bound by common law </w:t>
      </w:r>
      <w:r w:rsidR="00C94ADB" w:rsidRPr="00A52F11">
        <w:rPr>
          <w:rFonts w:ascii="Times New Roman" w:hAnsi="Times New Roman" w:cs="Times New Roman"/>
          <w:sz w:val="24"/>
          <w:szCs w:val="24"/>
          <w:lang w:val="en-US"/>
        </w:rPr>
        <w:t xml:space="preserve">to </w:t>
      </w:r>
      <w:r w:rsidRPr="00A52F11">
        <w:rPr>
          <w:rFonts w:ascii="Times New Roman" w:hAnsi="Times New Roman" w:cs="Times New Roman"/>
          <w:sz w:val="24"/>
          <w:szCs w:val="24"/>
          <w:lang w:val="en-US"/>
        </w:rPr>
        <w:t xml:space="preserve">such an extent that fundamental deviations seem certain to result in fundamental criticism and early </w:t>
      </w:r>
      <w:r w:rsidR="00C44AAD" w:rsidRPr="00A52F11">
        <w:rPr>
          <w:rFonts w:ascii="Times New Roman" w:hAnsi="Times New Roman" w:cs="Times New Roman"/>
          <w:sz w:val="24"/>
          <w:szCs w:val="24"/>
          <w:lang w:val="en-US"/>
        </w:rPr>
        <w:t>voting out</w:t>
      </w:r>
      <w:r w:rsidRPr="00A52F11">
        <w:rPr>
          <w:rFonts w:ascii="Times New Roman" w:hAnsi="Times New Roman" w:cs="Times New Roman"/>
          <w:sz w:val="24"/>
          <w:szCs w:val="24"/>
          <w:lang w:val="en-US"/>
        </w:rPr>
        <w:t xml:space="preserve">. </w:t>
      </w:r>
      <w:r w:rsidRPr="00A52F11">
        <w:rPr>
          <w:rStyle w:val="Funotenzeichen"/>
          <w:rFonts w:ascii="Times New Roman" w:hAnsi="Times New Roman" w:cs="Times New Roman"/>
          <w:sz w:val="24"/>
          <w:szCs w:val="24"/>
          <w:lang w:val="en-US"/>
        </w:rPr>
        <w:footnoteReference w:id="12"/>
      </w:r>
    </w:p>
    <w:p w14:paraId="0496972F" w14:textId="27D4A4E2" w:rsidR="004A2621" w:rsidRPr="00A52F11" w:rsidRDefault="004A2621" w:rsidP="00A52F11">
      <w:pPr>
        <w:spacing w:before="120" w:after="120" w:line="240" w:lineRule="auto"/>
        <w:jc w:val="both"/>
        <w:rPr>
          <w:rFonts w:ascii="Times New Roman" w:hAnsi="Times New Roman" w:cs="Times New Roman"/>
          <w:sz w:val="24"/>
          <w:szCs w:val="24"/>
          <w:lang w:val="en-US"/>
        </w:rPr>
      </w:pPr>
      <w:r w:rsidRPr="00A52F11">
        <w:rPr>
          <w:rFonts w:ascii="Times New Roman" w:hAnsi="Times New Roman" w:cs="Times New Roman"/>
          <w:sz w:val="24"/>
          <w:szCs w:val="24"/>
          <w:lang w:val="en-US"/>
        </w:rPr>
        <w:t xml:space="preserve">This in turn presupposes that a functioning democratic system is in place to guarantee a form of </w:t>
      </w:r>
      <w:r w:rsidR="00C94ADB"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checks and balances</w:t>
      </w:r>
      <w:r w:rsidR="00C94ADB"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If, on the other hand, there is no control of sovereign</w:t>
      </w:r>
      <w:r w:rsidR="00C94ADB" w:rsidRPr="00A52F11">
        <w:rPr>
          <w:rFonts w:ascii="Times New Roman" w:hAnsi="Times New Roman" w:cs="Times New Roman"/>
          <w:sz w:val="24"/>
          <w:szCs w:val="24"/>
          <w:lang w:val="en-US"/>
        </w:rPr>
        <w:t>ty</w:t>
      </w:r>
      <w:r w:rsidRPr="00A52F11">
        <w:rPr>
          <w:rFonts w:ascii="Times New Roman" w:hAnsi="Times New Roman" w:cs="Times New Roman"/>
          <w:sz w:val="24"/>
          <w:szCs w:val="24"/>
          <w:lang w:val="en-US"/>
        </w:rPr>
        <w:t xml:space="preserve"> by means of free, protected elections and/or by means of an independent court system</w:t>
      </w:r>
      <w:r w:rsidRPr="00A52F11">
        <w:rPr>
          <w:rStyle w:val="Funotenzeichen"/>
          <w:rFonts w:ascii="Times New Roman" w:hAnsi="Times New Roman" w:cs="Times New Roman"/>
          <w:sz w:val="24"/>
          <w:szCs w:val="24"/>
          <w:lang w:val="en-US"/>
        </w:rPr>
        <w:footnoteReference w:id="13"/>
      </w:r>
      <w:r w:rsidRPr="00A52F11">
        <w:rPr>
          <w:rFonts w:ascii="Times New Roman" w:hAnsi="Times New Roman" w:cs="Times New Roman"/>
          <w:sz w:val="24"/>
          <w:szCs w:val="24"/>
          <w:lang w:val="en-US"/>
        </w:rPr>
        <w:t xml:space="preserve">, </w:t>
      </w:r>
      <w:r w:rsidR="00C94ADB" w:rsidRPr="00A52F11">
        <w:rPr>
          <w:rFonts w:ascii="Times New Roman" w:hAnsi="Times New Roman" w:cs="Times New Roman"/>
          <w:sz w:val="24"/>
          <w:szCs w:val="24"/>
          <w:lang w:val="en-US"/>
        </w:rPr>
        <w:t>this</w:t>
      </w:r>
      <w:r w:rsidRPr="00A52F11">
        <w:rPr>
          <w:rFonts w:ascii="Times New Roman" w:hAnsi="Times New Roman" w:cs="Times New Roman"/>
          <w:sz w:val="24"/>
          <w:szCs w:val="24"/>
          <w:lang w:val="en-US"/>
        </w:rPr>
        <w:t xml:space="preserve"> </w:t>
      </w:r>
      <w:r w:rsidR="00C94ADB" w:rsidRPr="00A52F11">
        <w:rPr>
          <w:rFonts w:ascii="Times New Roman" w:hAnsi="Times New Roman" w:cs="Times New Roman"/>
          <w:sz w:val="24"/>
          <w:szCs w:val="24"/>
          <w:lang w:val="en-US"/>
        </w:rPr>
        <w:t>differently-</w:t>
      </w:r>
      <w:r w:rsidR="00C44AAD" w:rsidRPr="00A52F11">
        <w:rPr>
          <w:rFonts w:ascii="Times New Roman" w:hAnsi="Times New Roman" w:cs="Times New Roman"/>
          <w:sz w:val="24"/>
          <w:szCs w:val="24"/>
          <w:lang w:val="en-US"/>
        </w:rPr>
        <w:t>oriented</w:t>
      </w:r>
      <w:r w:rsidR="00C94ADB" w:rsidRPr="00A52F11">
        <w:rPr>
          <w:rFonts w:ascii="Times New Roman" w:hAnsi="Times New Roman" w:cs="Times New Roman"/>
          <w:sz w:val="24"/>
          <w:szCs w:val="24"/>
          <w:lang w:val="en-US"/>
        </w:rPr>
        <w:t xml:space="preserve"> concept of the rule of law –</w:t>
      </w:r>
      <w:r w:rsidRPr="00A52F11">
        <w:rPr>
          <w:rFonts w:ascii="Times New Roman" w:hAnsi="Times New Roman" w:cs="Times New Roman"/>
          <w:sz w:val="24"/>
          <w:szCs w:val="24"/>
          <w:lang w:val="en-US"/>
        </w:rPr>
        <w:t xml:space="preserve"> as already described above </w:t>
      </w:r>
      <w:r w:rsidR="00C94ADB" w:rsidRPr="00A52F11">
        <w:rPr>
          <w:rFonts w:ascii="Times New Roman" w:hAnsi="Times New Roman" w:cs="Times New Roman"/>
          <w:sz w:val="24"/>
          <w:szCs w:val="24"/>
          <w:lang w:val="en-US"/>
        </w:rPr>
        <w:t>–</w:t>
      </w:r>
      <w:r w:rsidRPr="00A52F11">
        <w:rPr>
          <w:rFonts w:ascii="Times New Roman" w:hAnsi="Times New Roman" w:cs="Times New Roman"/>
          <w:sz w:val="24"/>
          <w:szCs w:val="24"/>
          <w:lang w:val="en-US"/>
        </w:rPr>
        <w:t xml:space="preserve"> </w:t>
      </w:r>
      <w:r w:rsidR="00C94ADB" w:rsidRPr="00A52F11">
        <w:rPr>
          <w:rFonts w:ascii="Times New Roman" w:hAnsi="Times New Roman" w:cs="Times New Roman"/>
          <w:sz w:val="24"/>
          <w:szCs w:val="24"/>
          <w:lang w:val="en-US"/>
        </w:rPr>
        <w:t xml:space="preserve">remains </w:t>
      </w:r>
      <w:r w:rsidRPr="00A52F11">
        <w:rPr>
          <w:rFonts w:ascii="Times New Roman" w:hAnsi="Times New Roman" w:cs="Times New Roman"/>
          <w:sz w:val="24"/>
          <w:szCs w:val="24"/>
          <w:lang w:val="en-US"/>
        </w:rPr>
        <w:t xml:space="preserve">rudimentary. In my </w:t>
      </w:r>
      <w:r w:rsidRPr="00A52F11">
        <w:rPr>
          <w:rFonts w:ascii="Times New Roman" w:hAnsi="Times New Roman" w:cs="Times New Roman"/>
          <w:sz w:val="24"/>
          <w:szCs w:val="24"/>
          <w:lang w:val="en-US"/>
        </w:rPr>
        <w:lastRenderedPageBreak/>
        <w:t xml:space="preserve">understanding, this also and especially applies to communitarian forms of society in which, as in China, the orientation towards the welfare of the people </w:t>
      </w:r>
      <w:r w:rsidR="00C94ADB" w:rsidRPr="00A52F11">
        <w:rPr>
          <w:rFonts w:ascii="Times New Roman" w:hAnsi="Times New Roman" w:cs="Times New Roman"/>
          <w:sz w:val="24"/>
          <w:szCs w:val="24"/>
          <w:lang w:val="en-US"/>
        </w:rPr>
        <w:t xml:space="preserve">occupies </w:t>
      </w:r>
      <w:r w:rsidRPr="00A52F11">
        <w:rPr>
          <w:rFonts w:ascii="Times New Roman" w:hAnsi="Times New Roman" w:cs="Times New Roman"/>
          <w:sz w:val="24"/>
          <w:szCs w:val="24"/>
          <w:lang w:val="en-US"/>
        </w:rPr>
        <w:t xml:space="preserve">the highest authority. </w:t>
      </w:r>
      <w:r w:rsidRPr="00A52F11">
        <w:rPr>
          <w:rStyle w:val="Funotenzeichen"/>
          <w:rFonts w:ascii="Times New Roman" w:hAnsi="Times New Roman" w:cs="Times New Roman"/>
          <w:sz w:val="24"/>
          <w:szCs w:val="24"/>
          <w:lang w:val="en-US"/>
        </w:rPr>
        <w:footnoteReference w:id="14"/>
      </w:r>
    </w:p>
    <w:p w14:paraId="7426A62A" w14:textId="632610CE" w:rsidR="004A2621" w:rsidRPr="00A52F11" w:rsidRDefault="00C44AAD" w:rsidP="00A52F11">
      <w:pPr>
        <w:spacing w:before="120" w:after="120" w:line="240" w:lineRule="auto"/>
        <w:jc w:val="both"/>
        <w:rPr>
          <w:rFonts w:ascii="Times New Roman" w:hAnsi="Times New Roman" w:cs="Times New Roman"/>
          <w:sz w:val="24"/>
          <w:szCs w:val="24"/>
          <w:lang w:val="en-US"/>
        </w:rPr>
      </w:pPr>
      <w:r w:rsidRPr="00A52F11">
        <w:rPr>
          <w:rFonts w:ascii="Times New Roman" w:hAnsi="Times New Roman" w:cs="Times New Roman"/>
          <w:sz w:val="24"/>
          <w:szCs w:val="24"/>
          <w:lang w:val="en-US"/>
        </w:rPr>
        <w:t>This should not be misunderstood</w:t>
      </w:r>
      <w:r w:rsidR="004A2621" w:rsidRPr="00A52F11">
        <w:rPr>
          <w:rFonts w:ascii="Times New Roman" w:hAnsi="Times New Roman" w:cs="Times New Roman"/>
          <w:sz w:val="24"/>
          <w:szCs w:val="24"/>
          <w:lang w:val="en-US"/>
        </w:rPr>
        <w:t xml:space="preserve">: Even in so-called liberal societies, the rule of law offers no guarantee that state arbitrariness can be permanently prevented. The current discussion about the influence of the media, </w:t>
      </w:r>
      <w:r w:rsidR="00C94ADB" w:rsidRPr="00A52F11">
        <w:rPr>
          <w:rFonts w:ascii="Times New Roman" w:hAnsi="Times New Roman" w:cs="Times New Roman"/>
          <w:sz w:val="24"/>
          <w:szCs w:val="24"/>
          <w:lang w:val="en-US"/>
        </w:rPr>
        <w:t>including</w:t>
      </w:r>
      <w:r w:rsidR="004A2621" w:rsidRPr="00A52F11">
        <w:rPr>
          <w:rFonts w:ascii="Times New Roman" w:hAnsi="Times New Roman" w:cs="Times New Roman"/>
          <w:sz w:val="24"/>
          <w:szCs w:val="24"/>
          <w:lang w:val="en-US"/>
        </w:rPr>
        <w:t xml:space="preserve"> so-called social media</w:t>
      </w:r>
      <w:r w:rsidR="00C94ADB" w:rsidRPr="00A52F11">
        <w:rPr>
          <w:rFonts w:ascii="Times New Roman" w:hAnsi="Times New Roman" w:cs="Times New Roman"/>
          <w:sz w:val="24"/>
          <w:szCs w:val="24"/>
          <w:lang w:val="en-US"/>
        </w:rPr>
        <w:t>,</w:t>
      </w:r>
      <w:r w:rsidR="004A2621" w:rsidRPr="00A52F11">
        <w:rPr>
          <w:rFonts w:ascii="Times New Roman" w:hAnsi="Times New Roman" w:cs="Times New Roman"/>
          <w:sz w:val="24"/>
          <w:szCs w:val="24"/>
          <w:lang w:val="en-US"/>
        </w:rPr>
        <w:t xml:space="preserve"> on large parts of the population shows that the danger for the pluralistic formation of will </w:t>
      </w:r>
      <w:r w:rsidR="00C94ADB" w:rsidRPr="00A52F11">
        <w:rPr>
          <w:rFonts w:ascii="Times New Roman" w:hAnsi="Times New Roman" w:cs="Times New Roman"/>
          <w:sz w:val="24"/>
          <w:szCs w:val="24"/>
          <w:lang w:val="en-US"/>
        </w:rPr>
        <w:t>–</w:t>
      </w:r>
      <w:r w:rsidR="004A2621" w:rsidRPr="00A52F11">
        <w:rPr>
          <w:rFonts w:ascii="Times New Roman" w:hAnsi="Times New Roman" w:cs="Times New Roman"/>
          <w:sz w:val="24"/>
          <w:szCs w:val="24"/>
          <w:lang w:val="en-US"/>
        </w:rPr>
        <w:t xml:space="preserve"> and thus also for the existence of seemingly unchangeable rights </w:t>
      </w:r>
      <w:r w:rsidR="00C94ADB" w:rsidRPr="00A52F11">
        <w:rPr>
          <w:rFonts w:ascii="Times New Roman" w:hAnsi="Times New Roman" w:cs="Times New Roman"/>
          <w:sz w:val="24"/>
          <w:szCs w:val="24"/>
          <w:lang w:val="en-US"/>
        </w:rPr>
        <w:t>–</w:t>
      </w:r>
      <w:r w:rsidR="004A2621" w:rsidRPr="00A52F11">
        <w:rPr>
          <w:rFonts w:ascii="Times New Roman" w:hAnsi="Times New Roman" w:cs="Times New Roman"/>
          <w:sz w:val="24"/>
          <w:szCs w:val="24"/>
          <w:lang w:val="en-US"/>
        </w:rPr>
        <w:t xml:space="preserve"> has taken on new dimensions</w:t>
      </w:r>
      <w:r w:rsidR="004A2621" w:rsidRPr="00A52F11">
        <w:rPr>
          <w:rStyle w:val="Funotenzeichen"/>
          <w:rFonts w:ascii="Times New Roman" w:hAnsi="Times New Roman" w:cs="Times New Roman"/>
          <w:sz w:val="24"/>
          <w:szCs w:val="24"/>
          <w:lang w:val="en-US"/>
        </w:rPr>
        <w:footnoteReference w:id="15"/>
      </w:r>
      <w:r w:rsidR="00C94ADB" w:rsidRPr="00A52F11">
        <w:rPr>
          <w:rFonts w:ascii="Times New Roman" w:hAnsi="Times New Roman" w:cs="Times New Roman"/>
          <w:sz w:val="24"/>
          <w:szCs w:val="24"/>
          <w:lang w:val="en-US"/>
        </w:rPr>
        <w:t>; n</w:t>
      </w:r>
      <w:r w:rsidR="004A2621" w:rsidRPr="00A52F11">
        <w:rPr>
          <w:rFonts w:ascii="Times New Roman" w:hAnsi="Times New Roman" w:cs="Times New Roman"/>
          <w:sz w:val="24"/>
          <w:szCs w:val="24"/>
          <w:lang w:val="en-US"/>
        </w:rPr>
        <w:t xml:space="preserve">evertheless, the European interlocking of the rule of law with </w:t>
      </w:r>
      <w:r w:rsidR="00C94ADB" w:rsidRPr="00A52F11">
        <w:rPr>
          <w:rFonts w:ascii="Times New Roman" w:hAnsi="Times New Roman" w:cs="Times New Roman"/>
          <w:sz w:val="24"/>
          <w:szCs w:val="24"/>
          <w:lang w:val="en-US"/>
        </w:rPr>
        <w:t xml:space="preserve">its </w:t>
      </w:r>
      <w:r w:rsidR="004A2621" w:rsidRPr="00A52F11">
        <w:rPr>
          <w:rFonts w:ascii="Times New Roman" w:hAnsi="Times New Roman" w:cs="Times New Roman"/>
          <w:sz w:val="24"/>
          <w:szCs w:val="24"/>
          <w:lang w:val="en-US"/>
        </w:rPr>
        <w:t xml:space="preserve">foundations of a democratic polity and basic human rights makes the formation of state arbitrariness </w:t>
      </w:r>
      <w:r w:rsidR="00C94ADB" w:rsidRPr="00A52F11">
        <w:rPr>
          <w:rFonts w:ascii="Times New Roman" w:hAnsi="Times New Roman" w:cs="Times New Roman"/>
          <w:sz w:val="24"/>
          <w:szCs w:val="24"/>
          <w:lang w:val="en-US"/>
        </w:rPr>
        <w:t xml:space="preserve">at the very least </w:t>
      </w:r>
      <w:r w:rsidR="004A2621" w:rsidRPr="00A52F11">
        <w:rPr>
          <w:rFonts w:ascii="Times New Roman" w:hAnsi="Times New Roman" w:cs="Times New Roman"/>
          <w:sz w:val="24"/>
          <w:szCs w:val="24"/>
          <w:lang w:val="en-US"/>
        </w:rPr>
        <w:t>more difficult to a reassuring degree</w:t>
      </w:r>
      <w:r w:rsidR="002F0535" w:rsidRPr="00A52F11">
        <w:rPr>
          <w:rFonts w:ascii="Times New Roman" w:hAnsi="Times New Roman" w:cs="Times New Roman"/>
          <w:sz w:val="24"/>
          <w:szCs w:val="24"/>
          <w:lang w:val="en-US"/>
        </w:rPr>
        <w:t>.</w:t>
      </w:r>
    </w:p>
    <w:sectPr w:rsidR="004A2621" w:rsidRPr="00A52F11" w:rsidSect="00870AFE">
      <w:pgSz w:w="11906" w:h="16838"/>
      <w:pgMar w:top="1417" w:right="1417" w:bottom="1134"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AF14" w14:textId="77777777" w:rsidR="008843AC" w:rsidRDefault="008843AC" w:rsidP="004A2621">
      <w:pPr>
        <w:spacing w:after="0" w:line="240" w:lineRule="auto"/>
      </w:pPr>
      <w:r>
        <w:separator/>
      </w:r>
    </w:p>
  </w:endnote>
  <w:endnote w:type="continuationSeparator" w:id="0">
    <w:p w14:paraId="0ABA05D4" w14:textId="77777777" w:rsidR="008843AC" w:rsidRDefault="008843AC" w:rsidP="004A2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A50D9" w14:textId="77777777" w:rsidR="008843AC" w:rsidRDefault="008843AC" w:rsidP="004A2621">
      <w:pPr>
        <w:spacing w:after="0" w:line="240" w:lineRule="auto"/>
      </w:pPr>
      <w:r>
        <w:separator/>
      </w:r>
    </w:p>
  </w:footnote>
  <w:footnote w:type="continuationSeparator" w:id="0">
    <w:p w14:paraId="62EB31E8" w14:textId="77777777" w:rsidR="008843AC" w:rsidRDefault="008843AC" w:rsidP="004A2621">
      <w:pPr>
        <w:spacing w:after="0" w:line="240" w:lineRule="auto"/>
      </w:pPr>
      <w:r>
        <w:continuationSeparator/>
      </w:r>
    </w:p>
  </w:footnote>
  <w:footnote w:id="1">
    <w:p w14:paraId="2A9220C4" w14:textId="77777777" w:rsidR="004A2621" w:rsidRPr="00C47F09" w:rsidRDefault="004A2621" w:rsidP="00C47F09">
      <w:pPr>
        <w:pStyle w:val="Funotentext"/>
        <w:jc w:val="both"/>
        <w:rPr>
          <w:rFonts w:ascii="Times New Roman" w:hAnsi="Times New Roman" w:cs="Times New Roman"/>
          <w:sz w:val="18"/>
          <w:szCs w:val="18"/>
          <w:lang w:val="en-GB"/>
        </w:rPr>
      </w:pPr>
      <w:r w:rsidRPr="00C47F09">
        <w:rPr>
          <w:rStyle w:val="Funotenzeichen"/>
          <w:rFonts w:ascii="Times New Roman" w:hAnsi="Times New Roman" w:cs="Times New Roman"/>
          <w:sz w:val="18"/>
          <w:szCs w:val="18"/>
          <w:lang w:val="en-GB"/>
        </w:rPr>
        <w:footnoteRef/>
      </w:r>
      <w:r w:rsidRPr="00C47F09">
        <w:rPr>
          <w:rFonts w:ascii="Times New Roman" w:hAnsi="Times New Roman" w:cs="Times New Roman"/>
          <w:sz w:val="18"/>
          <w:szCs w:val="18"/>
          <w:lang w:val="en-GB"/>
        </w:rPr>
        <w:t xml:space="preserve"> Representative of many: </w:t>
      </w:r>
      <w:proofErr w:type="spellStart"/>
      <w:r w:rsidRPr="00C47F09">
        <w:rPr>
          <w:rFonts w:ascii="Times New Roman" w:hAnsi="Times New Roman" w:cs="Times New Roman"/>
          <w:sz w:val="18"/>
          <w:szCs w:val="18"/>
          <w:lang w:val="en-GB"/>
        </w:rPr>
        <w:t>Faundez</w:t>
      </w:r>
      <w:proofErr w:type="spellEnd"/>
      <w:r w:rsidRPr="00C47F09">
        <w:rPr>
          <w:rFonts w:ascii="Times New Roman" w:hAnsi="Times New Roman" w:cs="Times New Roman"/>
          <w:sz w:val="18"/>
          <w:szCs w:val="18"/>
          <w:lang w:val="en-GB"/>
        </w:rPr>
        <w:t>/</w:t>
      </w:r>
      <w:proofErr w:type="spellStart"/>
      <w:r w:rsidRPr="00C47F09">
        <w:rPr>
          <w:rFonts w:ascii="Times New Roman" w:hAnsi="Times New Roman" w:cs="Times New Roman"/>
          <w:sz w:val="18"/>
          <w:szCs w:val="18"/>
          <w:lang w:val="en-GB"/>
        </w:rPr>
        <w:t>Janse</w:t>
      </w:r>
      <w:proofErr w:type="spellEnd"/>
      <w:r w:rsidRPr="00C47F09">
        <w:rPr>
          <w:rFonts w:ascii="Times New Roman" w:hAnsi="Times New Roman" w:cs="Times New Roman"/>
          <w:sz w:val="18"/>
          <w:szCs w:val="18"/>
          <w:lang w:val="en-GB"/>
        </w:rPr>
        <w:t>/Muller/</w:t>
      </w:r>
      <w:proofErr w:type="spellStart"/>
      <w:r w:rsidRPr="00C47F09">
        <w:rPr>
          <w:rFonts w:ascii="Times New Roman" w:hAnsi="Times New Roman" w:cs="Times New Roman"/>
          <w:sz w:val="18"/>
          <w:szCs w:val="18"/>
          <w:lang w:val="en-GB"/>
        </w:rPr>
        <w:t>Peerenboom</w:t>
      </w:r>
      <w:proofErr w:type="spellEnd"/>
      <w:r w:rsidRPr="00C47F09">
        <w:rPr>
          <w:rFonts w:ascii="Times New Roman" w:hAnsi="Times New Roman" w:cs="Times New Roman"/>
          <w:sz w:val="18"/>
          <w:szCs w:val="18"/>
          <w:lang w:val="en-GB"/>
        </w:rPr>
        <w:t>, Hague Journal on the rule of Law, 2009, p. 1 f.</w:t>
      </w:r>
    </w:p>
  </w:footnote>
  <w:footnote w:id="2">
    <w:p w14:paraId="42FFBFCB" w14:textId="569DC816" w:rsidR="004A2621" w:rsidRPr="00C47F09" w:rsidRDefault="004A2621" w:rsidP="00C47F09">
      <w:pPr>
        <w:pStyle w:val="Funotentext"/>
        <w:jc w:val="both"/>
        <w:rPr>
          <w:rFonts w:ascii="Times New Roman" w:hAnsi="Times New Roman" w:cs="Times New Roman"/>
          <w:sz w:val="18"/>
          <w:szCs w:val="18"/>
          <w:lang w:val="en-GB"/>
        </w:rPr>
      </w:pPr>
      <w:r w:rsidRPr="00C47F09">
        <w:rPr>
          <w:rStyle w:val="Funotenzeichen"/>
          <w:rFonts w:ascii="Times New Roman" w:hAnsi="Times New Roman" w:cs="Times New Roman"/>
          <w:sz w:val="18"/>
          <w:szCs w:val="18"/>
          <w:lang w:val="en-GB"/>
        </w:rPr>
        <w:footnoteRef/>
      </w:r>
      <w:r w:rsidR="00F67E52" w:rsidRPr="00C47F09">
        <w:rPr>
          <w:rFonts w:ascii="Times New Roman" w:hAnsi="Times New Roman" w:cs="Times New Roman"/>
          <w:sz w:val="18"/>
          <w:szCs w:val="18"/>
          <w:lang w:val="en-GB"/>
        </w:rPr>
        <w:t xml:space="preserve"> </w:t>
      </w:r>
      <w:r w:rsidRPr="00C47F09">
        <w:rPr>
          <w:rFonts w:ascii="Times New Roman" w:hAnsi="Times New Roman" w:cs="Times New Roman"/>
          <w:sz w:val="18"/>
          <w:szCs w:val="18"/>
          <w:lang w:val="en-GB"/>
        </w:rPr>
        <w:t xml:space="preserve">In: A Treatise on Government, Book III, Chapter XVI, 1287a, published </w:t>
      </w:r>
      <w:proofErr w:type="gramStart"/>
      <w:r w:rsidRPr="00C47F09">
        <w:rPr>
          <w:rFonts w:ascii="Times New Roman" w:hAnsi="Times New Roman" w:cs="Times New Roman"/>
          <w:sz w:val="18"/>
          <w:szCs w:val="18"/>
          <w:lang w:val="en-GB"/>
        </w:rPr>
        <w:t>e.g.</w:t>
      </w:r>
      <w:proofErr w:type="gramEnd"/>
      <w:r w:rsidRPr="00C47F09">
        <w:rPr>
          <w:rFonts w:ascii="Times New Roman" w:hAnsi="Times New Roman" w:cs="Times New Roman"/>
          <w:sz w:val="18"/>
          <w:szCs w:val="18"/>
          <w:lang w:val="en-GB"/>
        </w:rPr>
        <w:t xml:space="preserve"> http://www.literaturepage.com/read/treatiseongovernment-104.html, accessed 14/9/2021.</w:t>
      </w:r>
    </w:p>
  </w:footnote>
  <w:footnote w:id="3">
    <w:p w14:paraId="686D9840" w14:textId="0B79DCE9" w:rsidR="004A2621" w:rsidRPr="00C47F09" w:rsidRDefault="004A2621" w:rsidP="00C47F09">
      <w:pPr>
        <w:pStyle w:val="Funotentext"/>
        <w:jc w:val="both"/>
        <w:rPr>
          <w:rFonts w:ascii="Times New Roman" w:hAnsi="Times New Roman" w:cs="Times New Roman"/>
          <w:sz w:val="18"/>
          <w:szCs w:val="18"/>
          <w:lang w:val="en-GB"/>
        </w:rPr>
      </w:pPr>
      <w:r w:rsidRPr="00C47F09">
        <w:rPr>
          <w:rStyle w:val="Funotenzeichen"/>
          <w:rFonts w:ascii="Times New Roman" w:hAnsi="Times New Roman" w:cs="Times New Roman"/>
          <w:sz w:val="18"/>
          <w:szCs w:val="18"/>
          <w:lang w:val="en-GB"/>
        </w:rPr>
        <w:footnoteRef/>
      </w:r>
      <w:r w:rsidR="00F67E52" w:rsidRPr="00C47F09">
        <w:rPr>
          <w:rFonts w:ascii="Times New Roman" w:hAnsi="Times New Roman" w:cs="Times New Roman"/>
          <w:sz w:val="18"/>
          <w:szCs w:val="18"/>
          <w:lang w:val="en-GB"/>
        </w:rPr>
        <w:t xml:space="preserve"> </w:t>
      </w:r>
      <w:r w:rsidRPr="00C47F09">
        <w:rPr>
          <w:rFonts w:ascii="Times New Roman" w:hAnsi="Times New Roman" w:cs="Times New Roman"/>
          <w:sz w:val="18"/>
          <w:szCs w:val="18"/>
          <w:lang w:val="en-GB"/>
        </w:rPr>
        <w:t xml:space="preserve">In: The Rule of Law and its Virtue, published in </w:t>
      </w:r>
      <w:proofErr w:type="gramStart"/>
      <w:r w:rsidRPr="00C47F09">
        <w:rPr>
          <w:rFonts w:ascii="Times New Roman" w:hAnsi="Times New Roman" w:cs="Times New Roman"/>
          <w:sz w:val="18"/>
          <w:szCs w:val="18"/>
          <w:lang w:val="en-GB"/>
        </w:rPr>
        <w:t>The</w:t>
      </w:r>
      <w:proofErr w:type="gramEnd"/>
      <w:r w:rsidRPr="00C47F09">
        <w:rPr>
          <w:rFonts w:ascii="Times New Roman" w:hAnsi="Times New Roman" w:cs="Times New Roman"/>
          <w:sz w:val="18"/>
          <w:szCs w:val="18"/>
          <w:lang w:val="en-GB"/>
        </w:rPr>
        <w:t xml:space="preserve"> authority of law: essays on law and morality; 1979 p. 212, 214, online e.g. http://fs2.american.edu/dfagel/www/Philosophers/Raz/Rule%20of%20Law%20and%20its%20Virtue_%20%20Joseph%20Raz.pdf, accessed 14.9.2021.</w:t>
      </w:r>
    </w:p>
  </w:footnote>
  <w:footnote w:id="4">
    <w:p w14:paraId="4F76B05B" w14:textId="77777777" w:rsidR="004A2621" w:rsidRPr="00F67E52" w:rsidRDefault="004A2621" w:rsidP="00C47F09">
      <w:pPr>
        <w:pStyle w:val="Funotentext"/>
        <w:jc w:val="both"/>
        <w:rPr>
          <w:lang w:val="en-GB"/>
        </w:rPr>
      </w:pPr>
      <w:r w:rsidRPr="00C47F09">
        <w:rPr>
          <w:rStyle w:val="Funotenzeichen"/>
          <w:rFonts w:ascii="Times New Roman" w:hAnsi="Times New Roman" w:cs="Times New Roman"/>
          <w:sz w:val="18"/>
          <w:szCs w:val="18"/>
          <w:lang w:val="en-GB"/>
        </w:rPr>
        <w:footnoteRef/>
      </w:r>
      <w:r w:rsidRPr="00C47F09">
        <w:rPr>
          <w:rFonts w:ascii="Times New Roman" w:hAnsi="Times New Roman" w:cs="Times New Roman"/>
          <w:sz w:val="18"/>
          <w:szCs w:val="18"/>
          <w:lang w:val="en-GB"/>
        </w:rPr>
        <w:t xml:space="preserve"> Introduction to the Law of Constitution (1885), p. 114, online at, e.g., https://plato.stanford.edu/entries/rule-of-law/#Dice, accessed 9/14/2021.</w:t>
      </w:r>
    </w:p>
  </w:footnote>
  <w:footnote w:id="5">
    <w:p w14:paraId="17587C7C" w14:textId="77777777" w:rsidR="004A2621" w:rsidRPr="00C47F09" w:rsidRDefault="004A2621" w:rsidP="00C47F09">
      <w:pPr>
        <w:pStyle w:val="Funotentext"/>
        <w:jc w:val="both"/>
        <w:rPr>
          <w:rFonts w:ascii="Times New Roman" w:hAnsi="Times New Roman" w:cs="Times New Roman"/>
          <w:sz w:val="18"/>
          <w:szCs w:val="18"/>
          <w:lang w:val="en-GB"/>
        </w:rPr>
      </w:pPr>
      <w:r w:rsidRPr="00C47F09">
        <w:rPr>
          <w:rStyle w:val="Funotenzeichen"/>
          <w:rFonts w:ascii="Times New Roman" w:hAnsi="Times New Roman" w:cs="Times New Roman"/>
          <w:sz w:val="18"/>
          <w:szCs w:val="18"/>
          <w:lang w:val="en-GB"/>
        </w:rPr>
        <w:footnoteRef/>
      </w:r>
      <w:r w:rsidRPr="00C47F09">
        <w:rPr>
          <w:rFonts w:ascii="Times New Roman" w:hAnsi="Times New Roman" w:cs="Times New Roman"/>
          <w:sz w:val="18"/>
          <w:szCs w:val="18"/>
          <w:lang w:val="en-GB"/>
        </w:rPr>
        <w:t xml:space="preserve"> As Brian Z. </w:t>
      </w:r>
      <w:proofErr w:type="spellStart"/>
      <w:r w:rsidRPr="00C47F09">
        <w:rPr>
          <w:rFonts w:ascii="Times New Roman" w:hAnsi="Times New Roman" w:cs="Times New Roman"/>
          <w:sz w:val="18"/>
          <w:szCs w:val="18"/>
          <w:lang w:val="en-GB"/>
        </w:rPr>
        <w:t>Tamanaha</w:t>
      </w:r>
      <w:proofErr w:type="spellEnd"/>
      <w:r w:rsidRPr="00C47F09">
        <w:rPr>
          <w:rFonts w:ascii="Times New Roman" w:hAnsi="Times New Roman" w:cs="Times New Roman"/>
          <w:sz w:val="18"/>
          <w:szCs w:val="18"/>
          <w:lang w:val="en-GB"/>
        </w:rPr>
        <w:t xml:space="preserve"> in </w:t>
      </w:r>
      <w:proofErr w:type="gramStart"/>
      <w:r w:rsidRPr="00C47F09">
        <w:rPr>
          <w:rFonts w:ascii="Times New Roman" w:hAnsi="Times New Roman" w:cs="Times New Roman"/>
          <w:sz w:val="18"/>
          <w:szCs w:val="18"/>
          <w:lang w:val="en-GB"/>
        </w:rPr>
        <w:t>On</w:t>
      </w:r>
      <w:proofErr w:type="gramEnd"/>
      <w:r w:rsidRPr="00C47F09">
        <w:rPr>
          <w:rFonts w:ascii="Times New Roman" w:hAnsi="Times New Roman" w:cs="Times New Roman"/>
          <w:sz w:val="18"/>
          <w:szCs w:val="18"/>
          <w:lang w:val="en-GB"/>
        </w:rPr>
        <w:t xml:space="preserve"> the rule of Law, History, Politics, Theory, Cambridge University Press, 2004, p. 97 with further references.</w:t>
      </w:r>
    </w:p>
  </w:footnote>
  <w:footnote w:id="6">
    <w:p w14:paraId="38AC6A54" w14:textId="77777777" w:rsidR="004A2621" w:rsidRPr="00C47F09" w:rsidRDefault="004A2621" w:rsidP="00C47F09">
      <w:pPr>
        <w:pStyle w:val="Funotentext"/>
        <w:jc w:val="both"/>
        <w:rPr>
          <w:rFonts w:ascii="Times New Roman" w:hAnsi="Times New Roman" w:cs="Times New Roman"/>
          <w:sz w:val="18"/>
          <w:szCs w:val="18"/>
          <w:lang w:val="en-GB"/>
        </w:rPr>
      </w:pPr>
      <w:r w:rsidRPr="00C47F09">
        <w:rPr>
          <w:rStyle w:val="Funotenzeichen"/>
          <w:rFonts w:ascii="Times New Roman" w:hAnsi="Times New Roman" w:cs="Times New Roman"/>
          <w:sz w:val="18"/>
          <w:szCs w:val="18"/>
          <w:lang w:val="en-GB"/>
        </w:rPr>
        <w:footnoteRef/>
      </w:r>
      <w:r w:rsidRPr="00C47F09">
        <w:rPr>
          <w:rFonts w:ascii="Times New Roman" w:hAnsi="Times New Roman" w:cs="Times New Roman"/>
          <w:sz w:val="18"/>
          <w:szCs w:val="18"/>
          <w:lang w:val="en-GB"/>
        </w:rPr>
        <w:t xml:space="preserve"> On the correlation between rule of law and economic development, e.g. </w:t>
      </w:r>
    </w:p>
  </w:footnote>
  <w:footnote w:id="7">
    <w:p w14:paraId="4977E4B8" w14:textId="6C883E8A" w:rsidR="004A2621" w:rsidRPr="00C47F09" w:rsidRDefault="004A2621" w:rsidP="00C47F09">
      <w:pPr>
        <w:pStyle w:val="Funotentext"/>
        <w:jc w:val="both"/>
        <w:rPr>
          <w:rFonts w:ascii="Times New Roman" w:hAnsi="Times New Roman" w:cs="Times New Roman"/>
          <w:sz w:val="18"/>
          <w:szCs w:val="18"/>
          <w:lang w:val="en-GB"/>
        </w:rPr>
      </w:pPr>
      <w:r w:rsidRPr="00C47F09">
        <w:rPr>
          <w:rStyle w:val="Funotenzeichen"/>
          <w:rFonts w:ascii="Times New Roman" w:hAnsi="Times New Roman" w:cs="Times New Roman"/>
          <w:sz w:val="18"/>
          <w:szCs w:val="18"/>
          <w:lang w:val="en-GB"/>
        </w:rPr>
        <w:footnoteRef/>
      </w:r>
      <w:r w:rsidRPr="00C47F09">
        <w:rPr>
          <w:rFonts w:ascii="Times New Roman" w:hAnsi="Times New Roman" w:cs="Times New Roman"/>
          <w:sz w:val="18"/>
          <w:szCs w:val="18"/>
          <w:lang w:val="en-GB"/>
        </w:rPr>
        <w:t xml:space="preserve"> The council of Europe and the Rule of Law - An overview, CM (2008) 170 v. 21.11.2008 - </w:t>
      </w:r>
      <w:proofErr w:type="spellStart"/>
      <w:proofErr w:type="gramStart"/>
      <w:r w:rsidRPr="00C47F09">
        <w:rPr>
          <w:rFonts w:ascii="Times New Roman" w:hAnsi="Times New Roman" w:cs="Times New Roman"/>
          <w:sz w:val="18"/>
          <w:szCs w:val="18"/>
          <w:lang w:val="en-GB"/>
        </w:rPr>
        <w:t>http:www.coe.int</w:t>
      </w:r>
      <w:proofErr w:type="spellEnd"/>
      <w:r w:rsidRPr="00C47F09">
        <w:rPr>
          <w:rFonts w:ascii="Times New Roman" w:hAnsi="Times New Roman" w:cs="Times New Roman"/>
          <w:sz w:val="18"/>
          <w:szCs w:val="18"/>
          <w:lang w:val="en-GB"/>
        </w:rPr>
        <w:t>/cm</w:t>
      </w:r>
      <w:proofErr w:type="gramEnd"/>
      <w:r w:rsidRPr="00C47F09">
        <w:rPr>
          <w:rFonts w:ascii="Times New Roman" w:hAnsi="Times New Roman" w:cs="Times New Roman"/>
          <w:sz w:val="18"/>
          <w:szCs w:val="18"/>
          <w:lang w:val="en-GB"/>
        </w:rPr>
        <w:t>, p. 4 f.</w:t>
      </w:r>
    </w:p>
  </w:footnote>
  <w:footnote w:id="8">
    <w:p w14:paraId="178E3645" w14:textId="77777777" w:rsidR="004A2621" w:rsidRPr="00F67E52" w:rsidRDefault="004A2621" w:rsidP="00C47F09">
      <w:pPr>
        <w:pStyle w:val="Funotentext"/>
        <w:jc w:val="both"/>
        <w:rPr>
          <w:lang w:val="en-GB"/>
        </w:rPr>
      </w:pPr>
      <w:r w:rsidRPr="00C47F09">
        <w:rPr>
          <w:rStyle w:val="Funotenzeichen"/>
          <w:rFonts w:ascii="Times New Roman" w:hAnsi="Times New Roman" w:cs="Times New Roman"/>
          <w:sz w:val="18"/>
          <w:szCs w:val="18"/>
          <w:lang w:val="en-GB"/>
        </w:rPr>
        <w:footnoteRef/>
      </w:r>
      <w:r w:rsidRPr="00C47F09">
        <w:rPr>
          <w:rFonts w:ascii="Times New Roman" w:hAnsi="Times New Roman" w:cs="Times New Roman"/>
          <w:sz w:val="18"/>
          <w:szCs w:val="18"/>
          <w:lang w:val="en-GB"/>
        </w:rPr>
        <w:t xml:space="preserve"> For example, </w:t>
      </w:r>
      <w:proofErr w:type="spellStart"/>
      <w:r w:rsidRPr="00C47F09">
        <w:rPr>
          <w:rFonts w:ascii="Times New Roman" w:hAnsi="Times New Roman" w:cs="Times New Roman"/>
          <w:i/>
          <w:sz w:val="18"/>
          <w:szCs w:val="18"/>
          <w:lang w:val="en-GB"/>
        </w:rPr>
        <w:t>Frithjof</w:t>
      </w:r>
      <w:proofErr w:type="spellEnd"/>
      <w:r w:rsidRPr="00C47F09">
        <w:rPr>
          <w:rFonts w:ascii="Times New Roman" w:hAnsi="Times New Roman" w:cs="Times New Roman"/>
          <w:i/>
          <w:sz w:val="18"/>
          <w:szCs w:val="18"/>
          <w:lang w:val="en-GB"/>
        </w:rPr>
        <w:t xml:space="preserve"> </w:t>
      </w:r>
      <w:proofErr w:type="spellStart"/>
      <w:r w:rsidRPr="00C47F09">
        <w:rPr>
          <w:rFonts w:ascii="Times New Roman" w:hAnsi="Times New Roman" w:cs="Times New Roman"/>
          <w:i/>
          <w:sz w:val="18"/>
          <w:szCs w:val="18"/>
          <w:lang w:val="en-GB"/>
        </w:rPr>
        <w:t>Ehm</w:t>
      </w:r>
      <w:proofErr w:type="spellEnd"/>
      <w:r w:rsidRPr="00C47F09">
        <w:rPr>
          <w:rFonts w:ascii="Times New Roman" w:hAnsi="Times New Roman" w:cs="Times New Roman"/>
          <w:sz w:val="18"/>
          <w:szCs w:val="18"/>
          <w:lang w:val="en-GB"/>
        </w:rPr>
        <w:t>, The Rule of Law, Concept, Guiding Principle and Framework, CDL-UDT (2010)012.</w:t>
      </w:r>
    </w:p>
  </w:footnote>
  <w:footnote w:id="9">
    <w:p w14:paraId="45C4BD39" w14:textId="77777777" w:rsidR="004A2621" w:rsidRPr="00C47F09" w:rsidRDefault="004A2621" w:rsidP="00C47F09">
      <w:pPr>
        <w:pStyle w:val="Funotentext"/>
        <w:jc w:val="both"/>
        <w:rPr>
          <w:rFonts w:ascii="Times New Roman" w:hAnsi="Times New Roman" w:cs="Times New Roman"/>
          <w:sz w:val="18"/>
          <w:szCs w:val="18"/>
          <w:lang w:val="en-GB"/>
        </w:rPr>
      </w:pPr>
      <w:r w:rsidRPr="00C47F09">
        <w:rPr>
          <w:rStyle w:val="Funotenzeichen"/>
          <w:rFonts w:ascii="Times New Roman" w:hAnsi="Times New Roman" w:cs="Times New Roman"/>
          <w:sz w:val="18"/>
          <w:szCs w:val="18"/>
          <w:lang w:val="en-GB"/>
        </w:rPr>
        <w:footnoteRef/>
      </w:r>
      <w:r w:rsidRPr="00C47F09">
        <w:rPr>
          <w:rFonts w:ascii="Times New Roman" w:hAnsi="Times New Roman" w:cs="Times New Roman"/>
          <w:sz w:val="18"/>
          <w:szCs w:val="18"/>
          <w:lang w:val="en-GB"/>
        </w:rPr>
        <w:t xml:space="preserve"> The council of Europe and the Rule of Law - An </w:t>
      </w:r>
      <w:proofErr w:type="gramStart"/>
      <w:r w:rsidRPr="00C47F09">
        <w:rPr>
          <w:rFonts w:ascii="Times New Roman" w:hAnsi="Times New Roman" w:cs="Times New Roman"/>
          <w:sz w:val="18"/>
          <w:szCs w:val="18"/>
          <w:lang w:val="en-GB"/>
        </w:rPr>
        <w:t>overview ,</w:t>
      </w:r>
      <w:proofErr w:type="gramEnd"/>
      <w:r w:rsidRPr="00C47F09">
        <w:rPr>
          <w:rFonts w:ascii="Times New Roman" w:hAnsi="Times New Roman" w:cs="Times New Roman"/>
          <w:sz w:val="18"/>
          <w:szCs w:val="18"/>
          <w:lang w:val="en-GB"/>
        </w:rPr>
        <w:t xml:space="preserve"> CM (2008) 170 v. 21.11.2008 - </w:t>
      </w:r>
      <w:proofErr w:type="spellStart"/>
      <w:r w:rsidRPr="00C47F09">
        <w:rPr>
          <w:rFonts w:ascii="Times New Roman" w:hAnsi="Times New Roman" w:cs="Times New Roman"/>
          <w:sz w:val="18"/>
          <w:szCs w:val="18"/>
          <w:lang w:val="en-GB"/>
        </w:rPr>
        <w:t>http:www.coe.int</w:t>
      </w:r>
      <w:proofErr w:type="spellEnd"/>
      <w:r w:rsidRPr="00C47F09">
        <w:rPr>
          <w:rFonts w:ascii="Times New Roman" w:hAnsi="Times New Roman" w:cs="Times New Roman"/>
          <w:sz w:val="18"/>
          <w:szCs w:val="18"/>
          <w:lang w:val="en-GB"/>
        </w:rPr>
        <w:t>/cm, p. 76 n. 31 f., 33.</w:t>
      </w:r>
    </w:p>
  </w:footnote>
  <w:footnote w:id="10">
    <w:p w14:paraId="279C0A7A" w14:textId="77777777" w:rsidR="004A2621" w:rsidRPr="00C47F09" w:rsidRDefault="004A2621" w:rsidP="00C47F09">
      <w:pPr>
        <w:pStyle w:val="Funotentext"/>
        <w:jc w:val="both"/>
        <w:rPr>
          <w:rFonts w:ascii="Times New Roman" w:hAnsi="Times New Roman" w:cs="Times New Roman"/>
          <w:sz w:val="18"/>
          <w:szCs w:val="18"/>
          <w:lang w:val="en-GB"/>
        </w:rPr>
      </w:pPr>
      <w:r w:rsidRPr="00C47F09">
        <w:rPr>
          <w:rStyle w:val="Funotenzeichen"/>
          <w:rFonts w:ascii="Times New Roman" w:hAnsi="Times New Roman" w:cs="Times New Roman"/>
          <w:sz w:val="18"/>
          <w:szCs w:val="18"/>
          <w:lang w:val="en-GB"/>
        </w:rPr>
        <w:footnoteRef/>
      </w:r>
      <w:r w:rsidRPr="00C47F09">
        <w:rPr>
          <w:rFonts w:ascii="Times New Roman" w:hAnsi="Times New Roman" w:cs="Times New Roman"/>
          <w:sz w:val="18"/>
          <w:szCs w:val="18"/>
          <w:lang w:val="en-GB"/>
        </w:rPr>
        <w:t xml:space="preserve"> </w:t>
      </w:r>
      <w:proofErr w:type="spellStart"/>
      <w:r w:rsidRPr="00C47F09">
        <w:rPr>
          <w:rFonts w:ascii="Times New Roman" w:hAnsi="Times New Roman" w:cs="Times New Roman"/>
          <w:sz w:val="18"/>
          <w:szCs w:val="18"/>
          <w:lang w:val="en-GB"/>
        </w:rPr>
        <w:t>Lelièvre</w:t>
      </w:r>
      <w:proofErr w:type="spellEnd"/>
      <w:r w:rsidRPr="00C47F09">
        <w:rPr>
          <w:rFonts w:ascii="Times New Roman" w:hAnsi="Times New Roman" w:cs="Times New Roman"/>
          <w:sz w:val="18"/>
          <w:szCs w:val="18"/>
          <w:lang w:val="en-GB"/>
        </w:rPr>
        <w:t>, 8.11.2007, § 104.</w:t>
      </w:r>
    </w:p>
  </w:footnote>
  <w:footnote w:id="11">
    <w:p w14:paraId="284AAAD6" w14:textId="77777777" w:rsidR="004A2621" w:rsidRPr="00C47F09" w:rsidRDefault="004A2621" w:rsidP="00C47F09">
      <w:pPr>
        <w:pStyle w:val="Funotentext"/>
        <w:jc w:val="both"/>
        <w:rPr>
          <w:rFonts w:ascii="Times New Roman" w:hAnsi="Times New Roman" w:cs="Times New Roman"/>
          <w:sz w:val="18"/>
          <w:szCs w:val="18"/>
          <w:lang w:val="en-GB"/>
        </w:rPr>
      </w:pPr>
      <w:r w:rsidRPr="00C47F09">
        <w:rPr>
          <w:rStyle w:val="Funotenzeichen"/>
          <w:rFonts w:ascii="Times New Roman" w:hAnsi="Times New Roman" w:cs="Times New Roman"/>
          <w:sz w:val="18"/>
          <w:szCs w:val="18"/>
          <w:lang w:val="en-GB"/>
        </w:rPr>
        <w:footnoteRef/>
      </w:r>
      <w:r w:rsidRPr="00C47F09">
        <w:rPr>
          <w:rFonts w:ascii="Times New Roman" w:hAnsi="Times New Roman" w:cs="Times New Roman"/>
          <w:sz w:val="18"/>
          <w:szCs w:val="18"/>
          <w:lang w:val="en-GB"/>
        </w:rPr>
        <w:t xml:space="preserve"> For example, </w:t>
      </w:r>
      <w:proofErr w:type="spellStart"/>
      <w:r w:rsidRPr="00C47F09">
        <w:rPr>
          <w:rFonts w:ascii="Times New Roman" w:hAnsi="Times New Roman" w:cs="Times New Roman"/>
          <w:i/>
          <w:sz w:val="18"/>
          <w:szCs w:val="18"/>
          <w:lang w:val="en-GB"/>
        </w:rPr>
        <w:t>MacCormick</w:t>
      </w:r>
      <w:proofErr w:type="spellEnd"/>
      <w:r w:rsidRPr="00C47F09">
        <w:rPr>
          <w:rFonts w:ascii="Times New Roman" w:hAnsi="Times New Roman" w:cs="Times New Roman"/>
          <w:sz w:val="18"/>
          <w:szCs w:val="18"/>
          <w:lang w:val="en-GB"/>
        </w:rPr>
        <w:t xml:space="preserve">, The Rule of Law and the Rule of Law, </w:t>
      </w:r>
      <w:proofErr w:type="spellStart"/>
      <w:r w:rsidRPr="00C47F09">
        <w:rPr>
          <w:rFonts w:ascii="Times New Roman" w:hAnsi="Times New Roman" w:cs="Times New Roman"/>
          <w:i/>
          <w:iCs/>
          <w:sz w:val="18"/>
          <w:szCs w:val="18"/>
          <w:lang w:val="en-GB"/>
        </w:rPr>
        <w:t>Juristenzeitung</w:t>
      </w:r>
      <w:proofErr w:type="spellEnd"/>
      <w:r w:rsidRPr="00C47F09">
        <w:rPr>
          <w:rFonts w:ascii="Times New Roman" w:hAnsi="Times New Roman" w:cs="Times New Roman"/>
          <w:sz w:val="18"/>
          <w:szCs w:val="18"/>
          <w:lang w:val="en-GB"/>
        </w:rPr>
        <w:t xml:space="preserve"> 1984, p. 65 et seq.</w:t>
      </w:r>
    </w:p>
  </w:footnote>
  <w:footnote w:id="12">
    <w:p w14:paraId="53889647" w14:textId="2919EDE3" w:rsidR="004A2621" w:rsidRPr="00C47F09" w:rsidRDefault="004A2621" w:rsidP="00C47F09">
      <w:pPr>
        <w:pStyle w:val="Funotentext"/>
        <w:jc w:val="both"/>
        <w:rPr>
          <w:rFonts w:ascii="Times New Roman" w:hAnsi="Times New Roman" w:cs="Times New Roman"/>
          <w:sz w:val="18"/>
          <w:szCs w:val="18"/>
          <w:lang w:val="en-GB"/>
        </w:rPr>
      </w:pPr>
      <w:r w:rsidRPr="00C47F09">
        <w:rPr>
          <w:rStyle w:val="Funotenzeichen"/>
          <w:rFonts w:ascii="Times New Roman" w:hAnsi="Times New Roman" w:cs="Times New Roman"/>
          <w:sz w:val="18"/>
          <w:szCs w:val="18"/>
          <w:lang w:val="en-GB"/>
        </w:rPr>
        <w:footnoteRef/>
      </w:r>
      <w:r w:rsidR="00F67E52" w:rsidRPr="00C47F09">
        <w:rPr>
          <w:rFonts w:ascii="Times New Roman" w:hAnsi="Times New Roman" w:cs="Times New Roman"/>
          <w:sz w:val="18"/>
          <w:szCs w:val="18"/>
          <w:lang w:val="en-GB"/>
        </w:rPr>
        <w:t xml:space="preserve"> </w:t>
      </w:r>
      <w:r w:rsidRPr="00C47F09">
        <w:rPr>
          <w:rFonts w:ascii="Times New Roman" w:hAnsi="Times New Roman" w:cs="Times New Roman"/>
          <w:sz w:val="18"/>
          <w:szCs w:val="18"/>
          <w:lang w:val="en-GB"/>
        </w:rPr>
        <w:t xml:space="preserve">Cf. </w:t>
      </w:r>
      <w:proofErr w:type="spellStart"/>
      <w:r w:rsidRPr="00C47F09">
        <w:rPr>
          <w:rFonts w:ascii="Times New Roman" w:hAnsi="Times New Roman" w:cs="Times New Roman"/>
          <w:i/>
          <w:sz w:val="18"/>
          <w:szCs w:val="18"/>
          <w:lang w:val="en-GB"/>
        </w:rPr>
        <w:t>MacCormick</w:t>
      </w:r>
      <w:proofErr w:type="spellEnd"/>
      <w:r w:rsidRPr="00C47F09">
        <w:rPr>
          <w:rFonts w:ascii="Times New Roman" w:hAnsi="Times New Roman" w:cs="Times New Roman"/>
          <w:sz w:val="18"/>
          <w:szCs w:val="18"/>
          <w:lang w:val="en-GB"/>
        </w:rPr>
        <w:t>, The Rule of Law and the Rule of Law, Law Journal 1984, p. 65, 67 fn. 8.</w:t>
      </w:r>
    </w:p>
  </w:footnote>
  <w:footnote w:id="13">
    <w:p w14:paraId="39FA0706" w14:textId="06CF1C41" w:rsidR="004A2621" w:rsidRPr="00F67E52" w:rsidRDefault="004A2621" w:rsidP="00C47F09">
      <w:pPr>
        <w:pStyle w:val="Funotentext"/>
        <w:jc w:val="both"/>
        <w:rPr>
          <w:lang w:val="en-GB"/>
        </w:rPr>
      </w:pPr>
      <w:r w:rsidRPr="00C47F09">
        <w:rPr>
          <w:rStyle w:val="Funotenzeichen"/>
          <w:rFonts w:ascii="Times New Roman" w:hAnsi="Times New Roman" w:cs="Times New Roman"/>
          <w:sz w:val="18"/>
          <w:szCs w:val="18"/>
          <w:lang w:val="en-GB"/>
        </w:rPr>
        <w:footnoteRef/>
      </w:r>
      <w:r w:rsidRPr="00C47F09">
        <w:rPr>
          <w:rFonts w:ascii="Times New Roman" w:hAnsi="Times New Roman" w:cs="Times New Roman"/>
          <w:sz w:val="18"/>
          <w:szCs w:val="18"/>
          <w:lang w:val="en-GB"/>
        </w:rPr>
        <w:t xml:space="preserve"> On judicial independence in China, see for example the essays in </w:t>
      </w:r>
      <w:proofErr w:type="spellStart"/>
      <w:r w:rsidRPr="00C47F09">
        <w:rPr>
          <w:rFonts w:ascii="Times New Roman" w:hAnsi="Times New Roman" w:cs="Times New Roman"/>
          <w:i/>
          <w:sz w:val="18"/>
          <w:szCs w:val="18"/>
          <w:lang w:val="en-GB"/>
        </w:rPr>
        <w:t>Peerenboom</w:t>
      </w:r>
      <w:proofErr w:type="spellEnd"/>
      <w:r w:rsidRPr="00C47F09">
        <w:rPr>
          <w:rFonts w:ascii="Times New Roman" w:hAnsi="Times New Roman" w:cs="Times New Roman"/>
          <w:i/>
          <w:sz w:val="18"/>
          <w:szCs w:val="18"/>
          <w:lang w:val="en-GB"/>
        </w:rPr>
        <w:t xml:space="preserve"> </w:t>
      </w:r>
      <w:r w:rsidRPr="00C47F09">
        <w:rPr>
          <w:rFonts w:ascii="Times New Roman" w:hAnsi="Times New Roman" w:cs="Times New Roman"/>
          <w:sz w:val="18"/>
          <w:szCs w:val="18"/>
          <w:lang w:val="en-GB"/>
        </w:rPr>
        <w:t>(Ed</w:t>
      </w:r>
      <w:r w:rsidR="00F67E52" w:rsidRPr="00C47F09">
        <w:rPr>
          <w:rFonts w:ascii="Times New Roman" w:hAnsi="Times New Roman" w:cs="Times New Roman"/>
          <w:sz w:val="18"/>
          <w:szCs w:val="18"/>
          <w:lang w:val="en-GB"/>
        </w:rPr>
        <w:t>.</w:t>
      </w:r>
      <w:r w:rsidRPr="00C47F09">
        <w:rPr>
          <w:rFonts w:ascii="Times New Roman" w:hAnsi="Times New Roman" w:cs="Times New Roman"/>
          <w:sz w:val="18"/>
          <w:szCs w:val="18"/>
          <w:lang w:val="en-GB"/>
        </w:rPr>
        <w:t>), Judicial Independence in China, Cambridge University Press, 2010.</w:t>
      </w:r>
    </w:p>
  </w:footnote>
  <w:footnote w:id="14">
    <w:p w14:paraId="47EC33DE" w14:textId="28E6655C" w:rsidR="004A2621" w:rsidRPr="00C47F09" w:rsidRDefault="004A2621" w:rsidP="00C47F09">
      <w:pPr>
        <w:pStyle w:val="Funotentext"/>
        <w:jc w:val="both"/>
        <w:rPr>
          <w:rFonts w:ascii="Times New Roman" w:hAnsi="Times New Roman" w:cs="Times New Roman"/>
          <w:sz w:val="18"/>
          <w:szCs w:val="18"/>
          <w:lang w:val="en-GB"/>
        </w:rPr>
      </w:pPr>
      <w:r w:rsidRPr="00C47F09">
        <w:rPr>
          <w:rStyle w:val="Funotenzeichen"/>
          <w:rFonts w:ascii="Times New Roman" w:hAnsi="Times New Roman" w:cs="Times New Roman"/>
          <w:sz w:val="18"/>
          <w:szCs w:val="18"/>
          <w:lang w:val="en-GB"/>
        </w:rPr>
        <w:footnoteRef/>
      </w:r>
      <w:r w:rsidR="00F67E52" w:rsidRPr="00C47F09">
        <w:rPr>
          <w:rFonts w:ascii="Times New Roman" w:hAnsi="Times New Roman" w:cs="Times New Roman"/>
          <w:sz w:val="18"/>
          <w:szCs w:val="18"/>
          <w:lang w:val="en-GB"/>
        </w:rPr>
        <w:t xml:space="preserve"> </w:t>
      </w:r>
      <w:r w:rsidRPr="00C47F09">
        <w:rPr>
          <w:rFonts w:ascii="Times New Roman" w:hAnsi="Times New Roman" w:cs="Times New Roman"/>
          <w:sz w:val="18"/>
          <w:szCs w:val="18"/>
          <w:lang w:val="en-GB"/>
        </w:rPr>
        <w:t xml:space="preserve">On this, for example, </w:t>
      </w:r>
      <w:r w:rsidRPr="00C47F09">
        <w:rPr>
          <w:rFonts w:ascii="Times New Roman" w:hAnsi="Times New Roman" w:cs="Times New Roman"/>
          <w:i/>
          <w:sz w:val="18"/>
          <w:szCs w:val="18"/>
          <w:lang w:val="en-GB"/>
        </w:rPr>
        <w:t>Li</w:t>
      </w:r>
      <w:r w:rsidRPr="00C47F09">
        <w:rPr>
          <w:rFonts w:ascii="Times New Roman" w:hAnsi="Times New Roman" w:cs="Times New Roman"/>
          <w:sz w:val="18"/>
          <w:szCs w:val="18"/>
          <w:lang w:val="en-GB"/>
        </w:rPr>
        <w:t xml:space="preserve">, China and the Rule of Law, in American Affairs, </w:t>
      </w:r>
      <w:proofErr w:type="gramStart"/>
      <w:r w:rsidRPr="00C47F09">
        <w:rPr>
          <w:rFonts w:ascii="Times New Roman" w:hAnsi="Times New Roman" w:cs="Times New Roman"/>
          <w:sz w:val="18"/>
          <w:szCs w:val="18"/>
          <w:lang w:val="en-GB"/>
        </w:rPr>
        <w:t>Fall</w:t>
      </w:r>
      <w:proofErr w:type="gramEnd"/>
      <w:r w:rsidRPr="00C47F09">
        <w:rPr>
          <w:rFonts w:ascii="Times New Roman" w:hAnsi="Times New Roman" w:cs="Times New Roman"/>
          <w:sz w:val="18"/>
          <w:szCs w:val="18"/>
          <w:lang w:val="en-GB"/>
        </w:rPr>
        <w:t xml:space="preserve"> 2019, Vol. III No. 3, online at: https://americanaffairsjournal.org/2019/08/china-and-the-rule-of-law/, accessed 14.9.2021; </w:t>
      </w:r>
      <w:r w:rsidRPr="00C47F09">
        <w:rPr>
          <w:rFonts w:ascii="Times New Roman" w:hAnsi="Times New Roman" w:cs="Times New Roman"/>
          <w:i/>
          <w:sz w:val="18"/>
          <w:szCs w:val="18"/>
          <w:lang w:val="en-GB"/>
        </w:rPr>
        <w:t>Heuser</w:t>
      </w:r>
      <w:r w:rsidRPr="00C47F09">
        <w:rPr>
          <w:rFonts w:ascii="Times New Roman" w:hAnsi="Times New Roman" w:cs="Times New Roman"/>
          <w:sz w:val="18"/>
          <w:szCs w:val="18"/>
          <w:lang w:val="en-GB"/>
        </w:rPr>
        <w:t xml:space="preserve">, What "Rule of Law"? The Traditional Chinese Concept of Good Governance and Challenges of the 21st Century, </w:t>
      </w:r>
      <w:proofErr w:type="spellStart"/>
      <w:r w:rsidRPr="00C47F09">
        <w:rPr>
          <w:rFonts w:ascii="Times New Roman" w:hAnsi="Times New Roman" w:cs="Times New Roman"/>
          <w:sz w:val="18"/>
          <w:szCs w:val="18"/>
          <w:lang w:val="en-GB"/>
        </w:rPr>
        <w:t>ZaöRV</w:t>
      </w:r>
      <w:proofErr w:type="spellEnd"/>
      <w:r w:rsidRPr="00C47F09">
        <w:rPr>
          <w:rFonts w:ascii="Times New Roman" w:hAnsi="Times New Roman" w:cs="Times New Roman"/>
          <w:sz w:val="18"/>
          <w:szCs w:val="18"/>
          <w:lang w:val="en-GB"/>
        </w:rPr>
        <w:t xml:space="preserve"> 2004, 723; also: </w:t>
      </w:r>
      <w:proofErr w:type="spellStart"/>
      <w:r w:rsidRPr="00C47F09">
        <w:rPr>
          <w:rFonts w:ascii="Times New Roman" w:hAnsi="Times New Roman" w:cs="Times New Roman"/>
          <w:i/>
          <w:sz w:val="18"/>
          <w:szCs w:val="18"/>
          <w:lang w:val="en-GB"/>
        </w:rPr>
        <w:t>Seppänen</w:t>
      </w:r>
      <w:proofErr w:type="spellEnd"/>
      <w:r w:rsidRPr="00C47F09">
        <w:rPr>
          <w:rFonts w:ascii="Times New Roman" w:hAnsi="Times New Roman" w:cs="Times New Roman"/>
          <w:sz w:val="18"/>
          <w:szCs w:val="18"/>
          <w:lang w:val="en-GB"/>
        </w:rPr>
        <w:t>, Ideological Conflict and the Rule of Law in Contemporary China - Useful Paradoxes, Cambridge University Press, 2016.</w:t>
      </w:r>
    </w:p>
  </w:footnote>
  <w:footnote w:id="15">
    <w:p w14:paraId="4B8E9873" w14:textId="759240DC" w:rsidR="004A2621" w:rsidRPr="00F67E52" w:rsidRDefault="004A2621" w:rsidP="00C47F09">
      <w:pPr>
        <w:pStyle w:val="Funotentext"/>
        <w:jc w:val="both"/>
        <w:rPr>
          <w:lang w:val="en-GB"/>
        </w:rPr>
      </w:pPr>
      <w:r w:rsidRPr="00C47F09">
        <w:rPr>
          <w:rStyle w:val="Funotenzeichen"/>
          <w:rFonts w:ascii="Times New Roman" w:hAnsi="Times New Roman" w:cs="Times New Roman"/>
          <w:sz w:val="18"/>
          <w:szCs w:val="18"/>
          <w:lang w:val="en-GB"/>
        </w:rPr>
        <w:footnoteRef/>
      </w:r>
      <w:r w:rsidRPr="00C47F09">
        <w:rPr>
          <w:rFonts w:ascii="Times New Roman" w:hAnsi="Times New Roman" w:cs="Times New Roman"/>
          <w:sz w:val="18"/>
          <w:szCs w:val="18"/>
          <w:lang w:val="en-GB"/>
        </w:rPr>
        <w:t xml:space="preserve"> For</w:t>
      </w:r>
      <w:r w:rsidR="00F67E52" w:rsidRPr="00C47F09">
        <w:rPr>
          <w:rFonts w:ascii="Times New Roman" w:hAnsi="Times New Roman" w:cs="Times New Roman"/>
          <w:sz w:val="18"/>
          <w:szCs w:val="18"/>
          <w:lang w:val="en-GB"/>
        </w:rPr>
        <w:t xml:space="preserve"> </w:t>
      </w:r>
      <w:proofErr w:type="gramStart"/>
      <w:r w:rsidRPr="00C47F09">
        <w:rPr>
          <w:rFonts w:ascii="Times New Roman" w:hAnsi="Times New Roman" w:cs="Times New Roman"/>
          <w:sz w:val="18"/>
          <w:szCs w:val="18"/>
          <w:lang w:val="en-GB"/>
        </w:rPr>
        <w:t>example</w:t>
      </w:r>
      <w:proofErr w:type="gramEnd"/>
      <w:r w:rsidRPr="00C47F09">
        <w:rPr>
          <w:rFonts w:ascii="Times New Roman" w:hAnsi="Times New Roman" w:cs="Times New Roman"/>
          <w:sz w:val="18"/>
          <w:szCs w:val="18"/>
          <w:lang w:val="en-GB"/>
        </w:rPr>
        <w:t xml:space="preserve"> </w:t>
      </w:r>
      <w:r w:rsidRPr="00C47F09">
        <w:rPr>
          <w:rFonts w:ascii="Times New Roman" w:hAnsi="Times New Roman" w:cs="Times New Roman"/>
          <w:i/>
          <w:sz w:val="18"/>
          <w:szCs w:val="18"/>
          <w:lang w:val="en-GB"/>
        </w:rPr>
        <w:t>Lewandowsky et al</w:t>
      </w:r>
      <w:r w:rsidR="00F67E52" w:rsidRPr="00C47F09">
        <w:rPr>
          <w:rFonts w:ascii="Times New Roman" w:hAnsi="Times New Roman" w:cs="Times New Roman"/>
          <w:i/>
          <w:sz w:val="18"/>
          <w:szCs w:val="18"/>
          <w:lang w:val="en-GB"/>
        </w:rPr>
        <w:t>.</w:t>
      </w:r>
      <w:r w:rsidRPr="00C47F09">
        <w:rPr>
          <w:rFonts w:ascii="Times New Roman" w:hAnsi="Times New Roman" w:cs="Times New Roman"/>
          <w:i/>
          <w:sz w:val="18"/>
          <w:szCs w:val="18"/>
          <w:lang w:val="en-GB"/>
        </w:rPr>
        <w:t xml:space="preserve">, </w:t>
      </w:r>
      <w:r w:rsidRPr="00C47F09">
        <w:rPr>
          <w:rFonts w:ascii="Times New Roman" w:hAnsi="Times New Roman" w:cs="Times New Roman"/>
          <w:sz w:val="18"/>
          <w:szCs w:val="18"/>
          <w:lang w:val="en-GB"/>
        </w:rPr>
        <w:t xml:space="preserve">Technology and Democracy: Understanding the influence of online technologies on political behaviour and decision-making. Publications Office of the European Union 2020, online at https://op.europa.eu/en/publication-detail/-/publication/49b629ee-1805-11eb-b57e-01aa75ed71a1/language-en, accessed on 14.9.2021; cf., also: </w:t>
      </w:r>
      <w:proofErr w:type="spellStart"/>
      <w:r w:rsidRPr="00C47F09">
        <w:rPr>
          <w:rFonts w:ascii="Times New Roman" w:hAnsi="Times New Roman" w:cs="Times New Roman"/>
          <w:i/>
          <w:sz w:val="18"/>
          <w:szCs w:val="18"/>
          <w:lang w:val="en-GB"/>
        </w:rPr>
        <w:t>Schirch</w:t>
      </w:r>
      <w:proofErr w:type="spellEnd"/>
      <w:r w:rsidRPr="00C47F09">
        <w:rPr>
          <w:rFonts w:ascii="Times New Roman" w:hAnsi="Times New Roman" w:cs="Times New Roman"/>
          <w:i/>
          <w:sz w:val="18"/>
          <w:szCs w:val="18"/>
          <w:lang w:val="en-GB"/>
        </w:rPr>
        <w:t xml:space="preserve"> </w:t>
      </w:r>
      <w:r w:rsidRPr="00C47F09">
        <w:rPr>
          <w:rFonts w:ascii="Times New Roman" w:hAnsi="Times New Roman" w:cs="Times New Roman"/>
          <w:sz w:val="18"/>
          <w:szCs w:val="18"/>
          <w:lang w:val="en-GB"/>
        </w:rPr>
        <w:t xml:space="preserve">(Ed.), Social Media Impacts on Conflict and Democracy - The </w:t>
      </w:r>
      <w:proofErr w:type="spellStart"/>
      <w:r w:rsidRPr="00C47F09">
        <w:rPr>
          <w:rFonts w:ascii="Times New Roman" w:hAnsi="Times New Roman" w:cs="Times New Roman"/>
          <w:sz w:val="18"/>
          <w:szCs w:val="18"/>
          <w:lang w:val="en-GB"/>
        </w:rPr>
        <w:t>Techtonic</w:t>
      </w:r>
      <w:proofErr w:type="spellEnd"/>
      <w:r w:rsidRPr="00C47F09">
        <w:rPr>
          <w:rFonts w:ascii="Times New Roman" w:hAnsi="Times New Roman" w:cs="Times New Roman"/>
          <w:sz w:val="18"/>
          <w:szCs w:val="18"/>
          <w:lang w:val="en-GB"/>
        </w:rPr>
        <w:t xml:space="preserve"> Shift, Routledge 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621"/>
    <w:rsid w:val="000075BC"/>
    <w:rsid w:val="00066ECA"/>
    <w:rsid w:val="000811E5"/>
    <w:rsid w:val="000939DC"/>
    <w:rsid w:val="000D557E"/>
    <w:rsid w:val="001D1377"/>
    <w:rsid w:val="001E0C0B"/>
    <w:rsid w:val="00285CF5"/>
    <w:rsid w:val="002B2C7F"/>
    <w:rsid w:val="002F0535"/>
    <w:rsid w:val="0038005C"/>
    <w:rsid w:val="004A2621"/>
    <w:rsid w:val="004B5789"/>
    <w:rsid w:val="0052176E"/>
    <w:rsid w:val="00521948"/>
    <w:rsid w:val="00522649"/>
    <w:rsid w:val="00591F78"/>
    <w:rsid w:val="005B0BBD"/>
    <w:rsid w:val="007822C6"/>
    <w:rsid w:val="00837710"/>
    <w:rsid w:val="00870AFE"/>
    <w:rsid w:val="008843AC"/>
    <w:rsid w:val="008D3DCC"/>
    <w:rsid w:val="00904A46"/>
    <w:rsid w:val="009858DB"/>
    <w:rsid w:val="00A52F11"/>
    <w:rsid w:val="00A85B78"/>
    <w:rsid w:val="00AA4791"/>
    <w:rsid w:val="00AC5F4A"/>
    <w:rsid w:val="00C204FF"/>
    <w:rsid w:val="00C44AAD"/>
    <w:rsid w:val="00C47F09"/>
    <w:rsid w:val="00C94ADB"/>
    <w:rsid w:val="00D017D7"/>
    <w:rsid w:val="00D41A39"/>
    <w:rsid w:val="00D43DA1"/>
    <w:rsid w:val="00D55772"/>
    <w:rsid w:val="00D75663"/>
    <w:rsid w:val="00DE0588"/>
    <w:rsid w:val="00E04D4A"/>
    <w:rsid w:val="00E271F3"/>
    <w:rsid w:val="00E35CDF"/>
    <w:rsid w:val="00F67E5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F8DB9"/>
  <w15:chartTrackingRefBased/>
  <w15:docId w15:val="{5EAC8779-6EC2-B440-8772-F5318E6A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2621"/>
    <w:pPr>
      <w:spacing w:after="160" w:line="259"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4A262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A2621"/>
    <w:rPr>
      <w:rFonts w:eastAsiaTheme="minorHAnsi"/>
      <w:sz w:val="20"/>
      <w:szCs w:val="20"/>
      <w:lang w:eastAsia="en-US"/>
    </w:rPr>
  </w:style>
  <w:style w:type="character" w:styleId="Funotenzeichen">
    <w:name w:val="footnote reference"/>
    <w:basedOn w:val="Absatz-Standardschriftart"/>
    <w:uiPriority w:val="99"/>
    <w:semiHidden/>
    <w:unhideWhenUsed/>
    <w:rsid w:val="004A2621"/>
    <w:rPr>
      <w:vertAlign w:val="superscript"/>
    </w:rPr>
  </w:style>
  <w:style w:type="character" w:styleId="Hyperlink">
    <w:name w:val="Hyperlink"/>
    <w:basedOn w:val="Absatz-Standardschriftart"/>
    <w:uiPriority w:val="99"/>
    <w:unhideWhenUsed/>
    <w:rsid w:val="004A2621"/>
    <w:rPr>
      <w:color w:val="0563C1" w:themeColor="hyperlink"/>
      <w:u w:val="single"/>
    </w:rPr>
  </w:style>
  <w:style w:type="paragraph" w:styleId="Sprechblasentext">
    <w:name w:val="Balloon Text"/>
    <w:basedOn w:val="Standard"/>
    <w:link w:val="SprechblasentextZchn"/>
    <w:uiPriority w:val="99"/>
    <w:semiHidden/>
    <w:unhideWhenUsed/>
    <w:rsid w:val="00E04D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4D4A"/>
    <w:rPr>
      <w:rFonts w:ascii="Segoe UI" w:eastAsiaTheme="minorHAnsi" w:hAnsi="Segoe UI" w:cs="Segoe UI"/>
      <w:sz w:val="18"/>
      <w:szCs w:val="18"/>
      <w:lang w:eastAsia="en-US"/>
    </w:rPr>
  </w:style>
  <w:style w:type="paragraph" w:styleId="Kopfzeile">
    <w:name w:val="header"/>
    <w:basedOn w:val="Standard"/>
    <w:link w:val="KopfzeileZchn"/>
    <w:uiPriority w:val="99"/>
    <w:unhideWhenUsed/>
    <w:rsid w:val="00AC5F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5F4A"/>
    <w:rPr>
      <w:rFonts w:eastAsiaTheme="minorHAnsi"/>
      <w:sz w:val="22"/>
      <w:szCs w:val="22"/>
      <w:lang w:eastAsia="en-US"/>
    </w:rPr>
  </w:style>
  <w:style w:type="paragraph" w:styleId="Fuzeile">
    <w:name w:val="footer"/>
    <w:basedOn w:val="Standard"/>
    <w:link w:val="FuzeileZchn"/>
    <w:uiPriority w:val="99"/>
    <w:unhideWhenUsed/>
    <w:rsid w:val="00AC5F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5F4A"/>
    <w:rPr>
      <w:rFonts w:eastAsiaTheme="minorHAnsi"/>
      <w:sz w:val="22"/>
      <w:szCs w:val="22"/>
      <w:lang w:eastAsia="en-US"/>
    </w:rPr>
  </w:style>
  <w:style w:type="table" w:styleId="Tabellenraster">
    <w:name w:val="Table Grid"/>
    <w:basedOn w:val="NormaleTabelle"/>
    <w:uiPriority w:val="39"/>
    <w:rsid w:val="00A52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870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1666</Words>
  <Characters>10500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Frederic Liu</cp:lastModifiedBy>
  <cp:revision>13</cp:revision>
  <dcterms:created xsi:type="dcterms:W3CDTF">2022-02-11T02:21:00Z</dcterms:created>
  <dcterms:modified xsi:type="dcterms:W3CDTF">2022-03-19T20:58:00Z</dcterms:modified>
</cp:coreProperties>
</file>