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8438" w14:textId="77777777" w:rsidR="00F41356" w:rsidRPr="00176990" w:rsidRDefault="00F41356" w:rsidP="00F41356">
      <w:pPr>
        <w:spacing w:before="120" w:after="120"/>
        <w:jc w:val="center"/>
        <w:rPr>
          <w:rFonts w:ascii="Times New Roman" w:eastAsia="Songti TC" w:hAnsi="Times New Roman"/>
          <w:b/>
          <w:bCs/>
          <w:sz w:val="32"/>
          <w:szCs w:val="32"/>
        </w:rPr>
      </w:pPr>
      <w:bookmarkStart w:id="0" w:name="OLE_LINK1"/>
      <w:bookmarkStart w:id="1" w:name="OLE_LINK2"/>
      <w:bookmarkStart w:id="2" w:name="OLE_LINK3"/>
      <w:bookmarkStart w:id="3" w:name="OLE_LINK11"/>
      <w:bookmarkStart w:id="4" w:name="OLE_LINK17"/>
      <w:r w:rsidRPr="00176990">
        <w:rPr>
          <w:rFonts w:ascii="Times New Roman" w:eastAsia="Songti TC" w:hAnsi="Times New Roman"/>
          <w:b/>
          <w:bCs/>
          <w:sz w:val="32"/>
          <w:szCs w:val="32"/>
        </w:rPr>
        <w:t>relation/</w:t>
      </w:r>
      <w:r w:rsidRPr="00176990">
        <w:rPr>
          <w:rFonts w:ascii="Times New Roman" w:eastAsia="Songti TC" w:hAnsi="Times New Roman"/>
          <w:b/>
          <w:bCs/>
          <w:sz w:val="32"/>
          <w:szCs w:val="32"/>
        </w:rPr>
        <w:t>关系</w:t>
      </w:r>
      <w:r w:rsidRPr="00176990">
        <w:rPr>
          <w:rFonts w:ascii="Times New Roman" w:eastAsia="Songti TC" w:hAnsi="Times New Roman"/>
          <w:b/>
          <w:bCs/>
          <w:sz w:val="32"/>
          <w:szCs w:val="32"/>
        </w:rPr>
        <w:t>(</w:t>
      </w:r>
      <w:proofErr w:type="spellStart"/>
      <w:r w:rsidRPr="00176990">
        <w:rPr>
          <w:rFonts w:ascii="Times New Roman" w:eastAsia="Songti TC" w:hAnsi="Times New Roman"/>
          <w:b/>
          <w:bCs/>
          <w:sz w:val="32"/>
          <w:szCs w:val="32"/>
        </w:rPr>
        <w:t>Guān</w:t>
      </w:r>
      <w:proofErr w:type="spellEnd"/>
      <w:r w:rsidRPr="00176990">
        <w:rPr>
          <w:rFonts w:ascii="Times New Roman" w:eastAsia="Songti TC" w:hAnsi="Times New Roman"/>
          <w:b/>
          <w:bCs/>
          <w:sz w:val="32"/>
          <w:szCs w:val="32"/>
        </w:rPr>
        <w:t xml:space="preserve"> </w:t>
      </w:r>
      <w:proofErr w:type="spellStart"/>
      <w:r w:rsidRPr="00176990">
        <w:rPr>
          <w:rFonts w:ascii="Times New Roman" w:eastAsia="Songti TC" w:hAnsi="Times New Roman"/>
          <w:b/>
          <w:bCs/>
          <w:sz w:val="32"/>
          <w:szCs w:val="32"/>
        </w:rPr>
        <w:t>Xì</w:t>
      </w:r>
      <w:proofErr w:type="spellEnd"/>
      <w:r w:rsidRPr="00176990">
        <w:rPr>
          <w:rFonts w:ascii="Times New Roman" w:eastAsia="Songti TC" w:hAnsi="Times New Roman"/>
          <w:b/>
          <w:bCs/>
          <w:sz w:val="32"/>
          <w:szCs w:val="32"/>
        </w:rPr>
        <w:t>)</w:t>
      </w:r>
    </w:p>
    <w:tbl>
      <w:tblPr>
        <w:tblW w:w="0" w:type="auto"/>
        <w:jc w:val="center"/>
        <w:tblLook w:val="04A0" w:firstRow="1" w:lastRow="0" w:firstColumn="1" w:lastColumn="0" w:noHBand="0" w:noVBand="1"/>
      </w:tblPr>
      <w:tblGrid>
        <w:gridCol w:w="2811"/>
        <w:gridCol w:w="2759"/>
        <w:gridCol w:w="2736"/>
      </w:tblGrid>
      <w:tr w:rsidR="00F41356" w:rsidRPr="00176990" w14:paraId="49157EC7" w14:textId="77777777" w:rsidTr="00953DE2">
        <w:trPr>
          <w:trHeight w:val="347"/>
          <w:jc w:val="center"/>
        </w:trPr>
        <w:tc>
          <w:tcPr>
            <w:tcW w:w="3020" w:type="dxa"/>
            <w:shd w:val="clear" w:color="auto" w:fill="auto"/>
          </w:tcPr>
          <w:p w14:paraId="70674403" w14:textId="77777777" w:rsidR="00F41356" w:rsidRPr="00176990" w:rsidRDefault="00F41356" w:rsidP="00953DE2">
            <w:pPr>
              <w:jc w:val="center"/>
              <w:rPr>
                <w:rFonts w:ascii="Times New Roman" w:eastAsia="Songti TC" w:hAnsi="Times New Roman"/>
                <w:sz w:val="24"/>
                <w:szCs w:val="24"/>
              </w:rPr>
            </w:pPr>
            <w:bookmarkStart w:id="5" w:name="OLE_LINK7"/>
            <w:bookmarkStart w:id="6" w:name="OLE_LINK8"/>
            <w:bookmarkStart w:id="7" w:name="OLE_LINK9"/>
            <w:bookmarkStart w:id="8" w:name="OLE_LINK10"/>
            <w:bookmarkStart w:id="9" w:name="OLE_LINK15"/>
            <w:r w:rsidRPr="00176990">
              <w:rPr>
                <w:rFonts w:ascii="Times New Roman" w:eastAsia="Songti TC" w:hAnsi="Times New Roman"/>
                <w:sz w:val="24"/>
                <w:szCs w:val="24"/>
              </w:rPr>
              <w:t>Chinese Perspective</w:t>
            </w:r>
          </w:p>
        </w:tc>
        <w:tc>
          <w:tcPr>
            <w:tcW w:w="3021" w:type="dxa"/>
            <w:shd w:val="clear" w:color="auto" w:fill="auto"/>
          </w:tcPr>
          <w:p w14:paraId="44A927F7" w14:textId="77777777" w:rsidR="00F41356" w:rsidRPr="00176990" w:rsidRDefault="00F41356" w:rsidP="00953DE2">
            <w:pPr>
              <w:jc w:val="center"/>
              <w:rPr>
                <w:rFonts w:ascii="Times New Roman" w:eastAsia="Songti TC" w:hAnsi="Times New Roman"/>
                <w:sz w:val="24"/>
                <w:szCs w:val="24"/>
              </w:rPr>
            </w:pPr>
            <w:r w:rsidRPr="00176990">
              <w:rPr>
                <w:rFonts w:ascii="Times New Roman" w:eastAsia="Songti TC" w:hAnsi="Times New Roman"/>
                <w:sz w:val="24"/>
                <w:szCs w:val="24"/>
              </w:rPr>
              <w:t xml:space="preserve">YANG </w:t>
            </w:r>
            <w:proofErr w:type="spellStart"/>
            <w:r w:rsidRPr="00176990">
              <w:rPr>
                <w:rFonts w:ascii="Times New Roman" w:eastAsia="Songti TC" w:hAnsi="Times New Roman"/>
                <w:sz w:val="24"/>
                <w:szCs w:val="24"/>
              </w:rPr>
              <w:t>Huilin</w:t>
            </w:r>
            <w:proofErr w:type="spellEnd"/>
          </w:p>
        </w:tc>
        <w:tc>
          <w:tcPr>
            <w:tcW w:w="3021" w:type="dxa"/>
            <w:shd w:val="clear" w:color="auto" w:fill="auto"/>
          </w:tcPr>
          <w:p w14:paraId="286F18C1" w14:textId="192CAE58" w:rsidR="00F41356" w:rsidRPr="00176990" w:rsidRDefault="00F41356" w:rsidP="00953DE2">
            <w:pPr>
              <w:jc w:val="center"/>
              <w:rPr>
                <w:rFonts w:ascii="Times New Roman" w:eastAsia="Songti TC" w:hAnsi="Times New Roman"/>
                <w:sz w:val="24"/>
                <w:szCs w:val="24"/>
              </w:rPr>
            </w:pPr>
            <w:r>
              <w:rPr>
                <w:rFonts w:ascii="Times New Roman" w:eastAsia="Songti TC" w:hAnsi="Times New Roman"/>
                <w:sz w:val="24"/>
                <w:szCs w:val="24"/>
              </w:rPr>
              <w:t>30 May</w:t>
            </w:r>
            <w:r w:rsidRPr="00176990">
              <w:rPr>
                <w:rFonts w:ascii="Times New Roman" w:eastAsia="Songti TC" w:hAnsi="Times New Roman"/>
                <w:sz w:val="24"/>
                <w:szCs w:val="24"/>
              </w:rPr>
              <w:t xml:space="preserve"> 2022</w:t>
            </w:r>
          </w:p>
        </w:tc>
      </w:tr>
    </w:tbl>
    <w:bookmarkEnd w:id="0"/>
    <w:bookmarkEnd w:id="1"/>
    <w:bookmarkEnd w:id="2"/>
    <w:bookmarkEnd w:id="3"/>
    <w:bookmarkEnd w:id="4"/>
    <w:bookmarkEnd w:id="5"/>
    <w:bookmarkEnd w:id="6"/>
    <w:bookmarkEnd w:id="7"/>
    <w:bookmarkEnd w:id="8"/>
    <w:bookmarkEnd w:id="9"/>
    <w:p w14:paraId="5650B6D5" w14:textId="77777777" w:rsidR="004156A6" w:rsidRPr="00C53C42" w:rsidRDefault="004156A6" w:rsidP="00C53C42">
      <w:pPr>
        <w:spacing w:before="120" w:after="120"/>
        <w:rPr>
          <w:rFonts w:ascii="Times New Roman" w:eastAsia="Songti TC" w:hAnsi="Times New Roman"/>
          <w:sz w:val="24"/>
          <w:szCs w:val="24"/>
        </w:rPr>
      </w:pPr>
      <w:r w:rsidRPr="00C53C42">
        <w:rPr>
          <w:rFonts w:ascii="Times New Roman" w:eastAsia="Songti TC" w:hAnsi="Times New Roman"/>
          <w:sz w:val="24"/>
          <w:szCs w:val="24"/>
        </w:rPr>
        <w:t xml:space="preserve">Chinese characters for “relation” is </w:t>
      </w:r>
      <w:r w:rsidRPr="00C53C42">
        <w:rPr>
          <w:rFonts w:ascii="Times New Roman" w:eastAsia="Songti TC" w:hAnsi="Times New Roman"/>
          <w:i/>
          <w:kern w:val="0"/>
          <w:sz w:val="24"/>
          <w:szCs w:val="24"/>
        </w:rPr>
        <w:t>guanxi</w:t>
      </w:r>
      <w:r w:rsidRPr="00C53C42">
        <w:rPr>
          <w:rFonts w:ascii="Times New Roman" w:eastAsia="Songti TC" w:hAnsi="Times New Roman"/>
          <w:kern w:val="0"/>
          <w:sz w:val="24"/>
          <w:szCs w:val="24"/>
        </w:rPr>
        <w:t>关系</w:t>
      </w:r>
      <w:r w:rsidRPr="00C53C42">
        <w:rPr>
          <w:rFonts w:ascii="Times New Roman" w:eastAsia="Songti TC" w:hAnsi="Times New Roman"/>
          <w:sz w:val="24"/>
          <w:szCs w:val="24"/>
        </w:rPr>
        <w:t>. This term is often used in daily life. Since ancient Chinese usually had more strict criteria for words included in lexicons or dictionaries, major traditional lexicons seldom took this term in. In modern Chinese, however, this term goes to another extreme, and its meanings seem to be all-embracing and more literary, such as “the interaction, connection or relation of things,” or “relationship of people or things" or "bearing and impact."</w:t>
      </w:r>
      <w:r w:rsidRPr="00C53C42">
        <w:rPr>
          <w:rStyle w:val="Funotenzeichen"/>
          <w:rFonts w:ascii="Times New Roman" w:eastAsia="Songti TC" w:hAnsi="Times New Roman"/>
          <w:sz w:val="24"/>
          <w:szCs w:val="24"/>
        </w:rPr>
        <w:footnoteReference w:id="1"/>
      </w:r>
      <w:r w:rsidRPr="00C53C42">
        <w:rPr>
          <w:rFonts w:ascii="Times New Roman" w:eastAsia="Songti TC" w:hAnsi="Times New Roman"/>
          <w:sz w:val="24"/>
          <w:szCs w:val="24"/>
        </w:rPr>
        <w:t xml:space="preserve"> Thus, Chinese phrases related to “correlation,” “relatedness,” and “relevance” are categorized as synonyms and co-constitute the general meaning of “relation” in Chinese.</w:t>
      </w:r>
    </w:p>
    <w:p w14:paraId="46FFF9BF" w14:textId="16DC4CC6" w:rsidR="004156A6" w:rsidRPr="00C53C42" w:rsidRDefault="004156A6" w:rsidP="00C53C42">
      <w:pPr>
        <w:spacing w:before="120" w:after="120"/>
        <w:rPr>
          <w:rFonts w:ascii="Times New Roman" w:eastAsia="Songti TC" w:hAnsi="Times New Roman"/>
          <w:sz w:val="24"/>
          <w:szCs w:val="24"/>
        </w:rPr>
      </w:pPr>
      <w:r w:rsidRPr="00C53C42">
        <w:rPr>
          <w:rFonts w:ascii="Times New Roman" w:eastAsia="Songti TC" w:hAnsi="Times New Roman"/>
          <w:sz w:val="24"/>
          <w:szCs w:val="24"/>
        </w:rPr>
        <w:t>On the other hand, some more "mundane" usages of “relation” implied subtle meanings that are hard to convey in words. For example, the phrase “have a relation with” originally contained a broader meaning, but for a long time, it is almost exclusively referred to as "have sex with or have an affair with somebody.” It makes the term “</w:t>
      </w:r>
      <w:r w:rsidRPr="00C53C42">
        <w:rPr>
          <w:rFonts w:ascii="Times New Roman" w:eastAsia="Songti TC" w:hAnsi="Times New Roman"/>
          <w:i/>
          <w:iCs/>
          <w:sz w:val="24"/>
          <w:szCs w:val="24"/>
        </w:rPr>
        <w:t>guan xi</w:t>
      </w:r>
      <w:r w:rsidRPr="00C53C42">
        <w:rPr>
          <w:rFonts w:ascii="Times New Roman" w:eastAsia="Songti TC" w:hAnsi="Times New Roman"/>
          <w:sz w:val="24"/>
          <w:szCs w:val="24"/>
        </w:rPr>
        <w:t>关系</w:t>
      </w:r>
      <w:r w:rsidRPr="00C53C42">
        <w:rPr>
          <w:rFonts w:ascii="Times New Roman" w:eastAsia="Songti TC" w:hAnsi="Times New Roman"/>
          <w:sz w:val="24"/>
          <w:szCs w:val="24"/>
        </w:rPr>
        <w:t>” (relation) after the verb “</w:t>
      </w:r>
      <w:r w:rsidRPr="00C53C42">
        <w:rPr>
          <w:rFonts w:ascii="Times New Roman" w:eastAsia="Songti TC" w:hAnsi="Times New Roman"/>
          <w:i/>
          <w:iCs/>
          <w:sz w:val="24"/>
          <w:szCs w:val="24"/>
        </w:rPr>
        <w:t>fa sheng</w:t>
      </w:r>
      <w:r w:rsidRPr="00C53C42">
        <w:rPr>
          <w:rFonts w:ascii="Times New Roman" w:eastAsia="Songti TC" w:hAnsi="Times New Roman"/>
          <w:sz w:val="24"/>
          <w:szCs w:val="24"/>
        </w:rPr>
        <w:t>发生</w:t>
      </w:r>
      <w:r w:rsidRPr="00C53C42">
        <w:rPr>
          <w:rFonts w:ascii="Times New Roman" w:eastAsia="Songti TC" w:hAnsi="Times New Roman"/>
          <w:sz w:val="24"/>
          <w:szCs w:val="24"/>
        </w:rPr>
        <w:t>” (have) stereotypically paired with "illicit sexual relation," and few people would question why we do not use the phrase "legitimate sexual relation"</w:t>
      </w:r>
      <w:r w:rsidR="00C53C42">
        <w:rPr>
          <w:rFonts w:ascii="Times New Roman" w:eastAsia="Songti TC" w:hAnsi="Times New Roman"/>
          <w:sz w:val="24"/>
          <w:szCs w:val="24"/>
        </w:rPr>
        <w:t>.</w:t>
      </w:r>
    </w:p>
    <w:p w14:paraId="21D4F9C7" w14:textId="77777777" w:rsidR="004156A6" w:rsidRPr="00C53C42" w:rsidRDefault="004156A6" w:rsidP="00C53C42">
      <w:pPr>
        <w:spacing w:before="120" w:after="120"/>
        <w:rPr>
          <w:rFonts w:ascii="Times New Roman" w:eastAsia="Songti TC" w:hAnsi="Times New Roman"/>
          <w:sz w:val="24"/>
          <w:szCs w:val="24"/>
        </w:rPr>
      </w:pPr>
      <w:r w:rsidRPr="00C53C42">
        <w:rPr>
          <w:rFonts w:ascii="Times New Roman" w:eastAsia="Songti TC" w:hAnsi="Times New Roman"/>
          <w:sz w:val="24"/>
          <w:szCs w:val="24"/>
        </w:rPr>
        <w:t xml:space="preserve">Another example is the so-called “public relation,” a buzzword in the tide of the market economy in the 1980s with a root in common parlance and slang. This created many "verb-object structure" idioms based on some vulgar words, such as "seek the relationship for one's own benefit," “exploit connections to get a profit,” and "engage in a relationship as snobbery." There are complimentary phrases describing the degree of "relation," for instance if the relation is "solid enough," "hard enough," “strong enough,” "wild enough (much enough), "arbitrary enough," etc. As a result, the Chinese word for "relation" is not easy to be translated into Western languages and sometimes </w:t>
      </w:r>
      <w:proofErr w:type="gramStart"/>
      <w:r w:rsidRPr="00C53C42">
        <w:rPr>
          <w:rFonts w:ascii="Times New Roman" w:eastAsia="Songti TC" w:hAnsi="Times New Roman"/>
          <w:sz w:val="24"/>
          <w:szCs w:val="24"/>
        </w:rPr>
        <w:t>has to</w:t>
      </w:r>
      <w:proofErr w:type="gramEnd"/>
      <w:r w:rsidRPr="00C53C42">
        <w:rPr>
          <w:rFonts w:ascii="Times New Roman" w:eastAsia="Songti TC" w:hAnsi="Times New Roman"/>
          <w:sz w:val="24"/>
          <w:szCs w:val="24"/>
        </w:rPr>
        <w:t xml:space="preserve"> use the phonetic translation </w:t>
      </w:r>
      <w:r w:rsidRPr="00C53C42">
        <w:rPr>
          <w:rFonts w:ascii="Times New Roman" w:eastAsia="Songti TC" w:hAnsi="Times New Roman"/>
          <w:i/>
          <w:sz w:val="24"/>
          <w:szCs w:val="24"/>
        </w:rPr>
        <w:t>guanxi</w:t>
      </w:r>
      <w:r w:rsidRPr="00C53C42">
        <w:rPr>
          <w:rFonts w:ascii="Times New Roman" w:eastAsia="Songti TC" w:hAnsi="Times New Roman"/>
          <w:sz w:val="24"/>
          <w:szCs w:val="24"/>
        </w:rPr>
        <w:t xml:space="preserve">. A highly acclaimed TV drama series, </w:t>
      </w:r>
      <w:r w:rsidRPr="00C53C42">
        <w:rPr>
          <w:rFonts w:ascii="Times New Roman" w:eastAsia="Songti TC" w:hAnsi="Times New Roman"/>
          <w:i/>
          <w:sz w:val="24"/>
          <w:szCs w:val="24"/>
        </w:rPr>
        <w:t>Chinese Style Relationship</w:t>
      </w:r>
      <w:r w:rsidRPr="00C53C42">
        <w:rPr>
          <w:rFonts w:ascii="Times New Roman" w:eastAsia="Songti TC" w:hAnsi="Times New Roman"/>
          <w:sz w:val="24"/>
          <w:szCs w:val="24"/>
        </w:rPr>
        <w:t xml:space="preserve">, may best explain the complexity of the meaning of the Chinese "relation" </w:t>
      </w:r>
      <w:r w:rsidRPr="00C53C42">
        <w:rPr>
          <w:rFonts w:ascii="Times New Roman" w:eastAsia="Songti TC" w:hAnsi="Times New Roman"/>
          <w:i/>
          <w:sz w:val="24"/>
          <w:szCs w:val="24"/>
        </w:rPr>
        <w:t>guanxi</w:t>
      </w:r>
      <w:r w:rsidRPr="00C53C42">
        <w:rPr>
          <w:rFonts w:ascii="Times New Roman" w:eastAsia="Songti TC" w:hAnsi="Times New Roman"/>
          <w:sz w:val="24"/>
          <w:szCs w:val="24"/>
        </w:rPr>
        <w:t>关系</w:t>
      </w:r>
      <w:r w:rsidRPr="00C53C42">
        <w:rPr>
          <w:rFonts w:ascii="Times New Roman" w:eastAsia="Songti TC" w:hAnsi="Times New Roman"/>
          <w:iCs/>
          <w:sz w:val="24"/>
          <w:szCs w:val="24"/>
        </w:rPr>
        <w:t>.</w:t>
      </w:r>
      <w:r w:rsidRPr="00C53C42">
        <w:rPr>
          <w:rStyle w:val="Funotenzeichen"/>
          <w:rFonts w:ascii="Times New Roman" w:eastAsia="Songti TC" w:hAnsi="Times New Roman"/>
          <w:iCs/>
          <w:sz w:val="24"/>
          <w:szCs w:val="24"/>
        </w:rPr>
        <w:footnoteReference w:id="2"/>
      </w:r>
    </w:p>
    <w:p w14:paraId="6146B11C" w14:textId="0DBA4173" w:rsidR="004156A6" w:rsidRPr="00C53C42" w:rsidRDefault="004156A6" w:rsidP="00C53C42">
      <w:pPr>
        <w:spacing w:before="120" w:after="120"/>
        <w:rPr>
          <w:rFonts w:ascii="Times New Roman" w:eastAsia="Songti TC" w:hAnsi="Times New Roman"/>
          <w:sz w:val="24"/>
          <w:szCs w:val="24"/>
          <w:shd w:val="clear" w:color="auto" w:fill="FFFFFF"/>
        </w:rPr>
      </w:pPr>
      <w:r w:rsidRPr="00C53C42">
        <w:rPr>
          <w:rFonts w:ascii="Times New Roman" w:eastAsia="Songti TC" w:hAnsi="Times New Roman"/>
          <w:sz w:val="24"/>
          <w:szCs w:val="24"/>
          <w:shd w:val="clear" w:color="auto" w:fill="FFFFFF"/>
        </w:rPr>
        <w:t>Nevertheless, if we trace the etymological root of the Chinese characters for "relation," the term is not necessarily so derogatory. The first character, "</w:t>
      </w:r>
      <w:r w:rsidRPr="00C53C42">
        <w:rPr>
          <w:rFonts w:ascii="Times New Roman" w:eastAsia="Songti TC" w:hAnsi="Times New Roman"/>
          <w:i/>
          <w:iCs/>
          <w:sz w:val="24"/>
          <w:szCs w:val="24"/>
          <w:shd w:val="clear" w:color="auto" w:fill="FFFFFF"/>
        </w:rPr>
        <w:t>guan</w:t>
      </w:r>
      <w:r w:rsidRPr="00C53C42">
        <w:rPr>
          <w:rFonts w:ascii="Times New Roman" w:eastAsia="Songti TC" w:hAnsi="Times New Roman"/>
          <w:sz w:val="24"/>
          <w:szCs w:val="24"/>
          <w:shd w:val="clear" w:color="auto" w:fill="FFFFFF"/>
        </w:rPr>
        <w:t>关</w:t>
      </w:r>
      <w:r w:rsidRPr="00C53C42">
        <w:rPr>
          <w:rFonts w:ascii="Times New Roman" w:eastAsia="Songti TC" w:hAnsi="Times New Roman"/>
          <w:sz w:val="24"/>
          <w:szCs w:val="24"/>
          <w:shd w:val="clear" w:color="auto" w:fill="FFFFFF"/>
        </w:rPr>
        <w:t>," originally was written as</w:t>
      </w:r>
      <w:r w:rsidRPr="00C53C42">
        <w:rPr>
          <w:rFonts w:ascii="Times New Roman" w:eastAsia="Songti TC" w:hAnsi="Times New Roman"/>
          <w:sz w:val="24"/>
          <w:szCs w:val="24"/>
          <w:shd w:val="clear" w:color="auto" w:fill="FFFFFF"/>
          <w:lang w:eastAsia="zh-TW"/>
        </w:rPr>
        <w:t>關</w:t>
      </w:r>
      <w:r w:rsidRPr="00C53C42">
        <w:rPr>
          <w:rFonts w:ascii="Times New Roman" w:eastAsia="Songti TC" w:hAnsi="Times New Roman"/>
          <w:sz w:val="24"/>
          <w:szCs w:val="24"/>
          <w:shd w:val="clear" w:color="auto" w:fill="FFFFFF"/>
        </w:rPr>
        <w:t>, which took the shape of a bolt used to lock the door and later meant "strategic pass" (</w:t>
      </w:r>
      <w:r w:rsidRPr="00C53C42">
        <w:rPr>
          <w:rFonts w:ascii="Times New Roman" w:eastAsia="Songti TC" w:hAnsi="Times New Roman"/>
          <w:sz w:val="24"/>
          <w:szCs w:val="24"/>
          <w:shd w:val="clear" w:color="auto" w:fill="FFFFFF"/>
        </w:rPr>
        <w:t>隘口</w:t>
      </w:r>
      <w:r w:rsidRPr="00C53C42">
        <w:rPr>
          <w:rFonts w:ascii="Times New Roman" w:eastAsia="Songti TC" w:hAnsi="Times New Roman"/>
          <w:sz w:val="24"/>
          <w:szCs w:val="24"/>
          <w:shd w:val="clear" w:color="auto" w:fill="FFFFFF"/>
        </w:rPr>
        <w:t>) and "critical juncture" (</w:t>
      </w:r>
      <w:r w:rsidRPr="00C53C42">
        <w:rPr>
          <w:rFonts w:ascii="Times New Roman" w:eastAsia="Songti TC" w:hAnsi="Times New Roman"/>
          <w:sz w:val="24"/>
          <w:szCs w:val="24"/>
          <w:shd w:val="clear" w:color="auto" w:fill="FFFFFF"/>
        </w:rPr>
        <w:t>枢纽</w:t>
      </w:r>
      <w:r w:rsidRPr="00C53C42">
        <w:rPr>
          <w:rFonts w:ascii="Times New Roman" w:eastAsia="Songti TC" w:hAnsi="Times New Roman"/>
          <w:sz w:val="24"/>
          <w:szCs w:val="24"/>
          <w:shd w:val="clear" w:color="auto" w:fill="FFFFFF"/>
        </w:rPr>
        <w:t>).</w:t>
      </w:r>
      <w:r w:rsidRPr="00C53C42">
        <w:rPr>
          <w:rStyle w:val="Funotenzeichen"/>
          <w:rFonts w:ascii="Times New Roman" w:eastAsia="Songti TC" w:hAnsi="Times New Roman"/>
          <w:color w:val="333333"/>
          <w:sz w:val="24"/>
          <w:szCs w:val="24"/>
          <w:shd w:val="clear" w:color="auto" w:fill="FFFFFF"/>
        </w:rPr>
        <w:footnoteReference w:id="3"/>
      </w:r>
      <w:r w:rsidRPr="00C53C42">
        <w:rPr>
          <w:rFonts w:ascii="Times New Roman" w:eastAsia="Songti TC" w:hAnsi="Times New Roman"/>
          <w:sz w:val="24"/>
          <w:szCs w:val="24"/>
          <w:shd w:val="clear" w:color="auto" w:fill="FFFFFF"/>
        </w:rPr>
        <w:t xml:space="preserve">After the Tang Dynasty, the </w:t>
      </w:r>
      <w:r w:rsidRPr="00C53C42">
        <w:rPr>
          <w:rFonts w:ascii="Times New Roman" w:eastAsia="Songti TC" w:hAnsi="Times New Roman"/>
          <w:sz w:val="24"/>
          <w:szCs w:val="24"/>
          <w:shd w:val="clear" w:color="auto" w:fill="FFFFFF"/>
        </w:rPr>
        <w:lastRenderedPageBreak/>
        <w:t>character was expanded to mean "get involved." The other character</w:t>
      </w:r>
      <w:r w:rsidRPr="00C53C42">
        <w:rPr>
          <w:rFonts w:ascii="Times New Roman" w:eastAsia="Songti TC" w:hAnsi="Times New Roman"/>
          <w:i/>
          <w:color w:val="333333"/>
          <w:sz w:val="24"/>
          <w:szCs w:val="24"/>
          <w:shd w:val="clear" w:color="auto" w:fill="FFFFFF"/>
        </w:rPr>
        <w:t xml:space="preserve">, </w:t>
      </w:r>
      <w:r w:rsidRPr="00C53C42">
        <w:rPr>
          <w:rFonts w:ascii="Times New Roman" w:eastAsia="Songti TC" w:hAnsi="Times New Roman"/>
          <w:iCs/>
          <w:color w:val="333333"/>
          <w:sz w:val="24"/>
          <w:szCs w:val="24"/>
          <w:shd w:val="clear" w:color="auto" w:fill="FFFFFF"/>
        </w:rPr>
        <w:t>“</w:t>
      </w:r>
      <w:r w:rsidRPr="00C53C42">
        <w:rPr>
          <w:rFonts w:ascii="Times New Roman" w:eastAsia="Songti TC" w:hAnsi="Times New Roman"/>
          <w:i/>
          <w:color w:val="333333"/>
          <w:sz w:val="24"/>
          <w:szCs w:val="24"/>
          <w:shd w:val="clear" w:color="auto" w:fill="FFFFFF"/>
        </w:rPr>
        <w:t>xi</w:t>
      </w:r>
      <w:r w:rsidRPr="00C53C42">
        <w:rPr>
          <w:rFonts w:ascii="Times New Roman" w:eastAsia="Songti TC" w:hAnsi="Times New Roman"/>
          <w:color w:val="333333"/>
          <w:sz w:val="24"/>
          <w:szCs w:val="24"/>
          <w:shd w:val="clear" w:color="auto" w:fill="FFFFFF"/>
        </w:rPr>
        <w:t xml:space="preserve"> </w:t>
      </w:r>
      <w:r w:rsidRPr="00C53C42">
        <w:rPr>
          <w:rFonts w:ascii="Times New Roman" w:eastAsia="Songti TC" w:hAnsi="Times New Roman"/>
          <w:color w:val="333333"/>
          <w:sz w:val="24"/>
          <w:szCs w:val="24"/>
          <w:shd w:val="clear" w:color="auto" w:fill="FFFFFF"/>
        </w:rPr>
        <w:t>系</w:t>
      </w:r>
      <w:r w:rsidRPr="00C53C42">
        <w:rPr>
          <w:rFonts w:ascii="Times New Roman" w:eastAsia="Songti TC" w:hAnsi="Times New Roman"/>
          <w:color w:val="333333"/>
          <w:sz w:val="24"/>
          <w:szCs w:val="24"/>
          <w:shd w:val="clear" w:color="auto" w:fill="FFFFFF"/>
        </w:rPr>
        <w:t xml:space="preserve">," is composed of the upper part </w:t>
      </w:r>
      <w:r w:rsidRPr="00C53C42">
        <w:rPr>
          <w:rFonts w:ascii="Times New Roman" w:eastAsia="Songti TC" w:hAnsi="Times New Roman"/>
          <w:color w:val="333333"/>
          <w:sz w:val="24"/>
          <w:szCs w:val="24"/>
          <w:shd w:val="clear" w:color="auto" w:fill="FFFFFF"/>
        </w:rPr>
        <w:t>爪</w:t>
      </w:r>
      <w:r w:rsidRPr="00C53C42">
        <w:rPr>
          <w:rFonts w:ascii="Times New Roman" w:eastAsia="Songti TC" w:hAnsi="Times New Roman"/>
          <w:color w:val="333333"/>
          <w:sz w:val="24"/>
          <w:szCs w:val="24"/>
          <w:shd w:val="clear" w:color="auto" w:fill="FFFFFF"/>
        </w:rPr>
        <w:t xml:space="preserve"> (</w:t>
      </w:r>
      <w:r w:rsidRPr="00C53C42">
        <w:rPr>
          <w:rFonts w:ascii="Times New Roman" w:eastAsia="Songti TC" w:hAnsi="Times New Roman"/>
          <w:sz w:val="24"/>
          <w:szCs w:val="24"/>
          <w:shd w:val="clear" w:color="auto" w:fill="FFFFFF"/>
        </w:rPr>
        <w:t>claw or hand</w:t>
      </w:r>
      <w:r w:rsidRPr="00C53C42">
        <w:rPr>
          <w:rFonts w:ascii="Times New Roman" w:eastAsia="Songti TC" w:hAnsi="Times New Roman"/>
          <w:color w:val="333333"/>
          <w:sz w:val="24"/>
          <w:szCs w:val="24"/>
          <w:shd w:val="clear" w:color="auto" w:fill="FFFFFF"/>
        </w:rPr>
        <w:t xml:space="preserve">) and the lower part </w:t>
      </w:r>
      <w:r w:rsidRPr="00C53C42">
        <w:rPr>
          <w:rFonts w:ascii="Times New Roman" w:eastAsia="Songti TC" w:hAnsi="Times New Roman"/>
          <w:color w:val="333333"/>
          <w:sz w:val="24"/>
          <w:szCs w:val="24"/>
          <w:shd w:val="clear" w:color="auto" w:fill="FFFFFF"/>
        </w:rPr>
        <w:t>丝</w:t>
      </w:r>
      <w:r w:rsidRPr="00C53C42">
        <w:rPr>
          <w:rFonts w:ascii="Times New Roman" w:eastAsia="Songti TC" w:hAnsi="Times New Roman"/>
          <w:color w:val="333333"/>
          <w:sz w:val="24"/>
          <w:szCs w:val="24"/>
          <w:shd w:val="clear" w:color="auto" w:fill="FFFFFF"/>
        </w:rPr>
        <w:t xml:space="preserve"> (silk), </w:t>
      </w:r>
      <w:r w:rsidRPr="00C53C42">
        <w:rPr>
          <w:rFonts w:ascii="Times New Roman" w:eastAsia="Songti TC" w:hAnsi="Times New Roman"/>
          <w:sz w:val="24"/>
          <w:szCs w:val="24"/>
          <w:shd w:val="clear" w:color="auto" w:fill="FFFFFF"/>
        </w:rPr>
        <w:t>which graphically displays how "to link the silk with a hand," attaching the word meaning of "be related to."</w:t>
      </w:r>
      <w:r w:rsidRPr="00C53C42">
        <w:rPr>
          <w:rStyle w:val="Funotenzeichen"/>
          <w:rFonts w:ascii="Times New Roman" w:eastAsia="Songti TC" w:hAnsi="Times New Roman"/>
          <w:color w:val="333333"/>
          <w:sz w:val="24"/>
          <w:szCs w:val="24"/>
          <w:shd w:val="clear" w:color="auto" w:fill="FFFFFF"/>
        </w:rPr>
        <w:footnoteReference w:id="4"/>
      </w:r>
      <w:r w:rsidRPr="00C53C42">
        <w:rPr>
          <w:rFonts w:ascii="Times New Roman" w:eastAsia="Songti TC" w:hAnsi="Times New Roman"/>
          <w:sz w:val="24"/>
          <w:szCs w:val="24"/>
          <w:shd w:val="clear" w:color="auto" w:fill="FFFFFF"/>
        </w:rPr>
        <w:t xml:space="preserve"> The earliest case to use the two characters as a phrase could be found in </w:t>
      </w:r>
      <w:r w:rsidRPr="00C53C42">
        <w:rPr>
          <w:rFonts w:ascii="Times New Roman" w:eastAsia="Songti TC" w:hAnsi="Times New Roman"/>
          <w:i/>
          <w:sz w:val="24"/>
          <w:szCs w:val="24"/>
          <w:shd w:val="clear" w:color="auto" w:fill="FFFFFF"/>
        </w:rPr>
        <w:t xml:space="preserve">He </w:t>
      </w:r>
      <w:proofErr w:type="spellStart"/>
      <w:r w:rsidRPr="00C53C42">
        <w:rPr>
          <w:rFonts w:ascii="Times New Roman" w:eastAsia="Songti TC" w:hAnsi="Times New Roman"/>
          <w:i/>
          <w:sz w:val="24"/>
          <w:szCs w:val="24"/>
          <w:shd w:val="clear" w:color="auto" w:fill="FFFFFF"/>
        </w:rPr>
        <w:t>lin</w:t>
      </w:r>
      <w:proofErr w:type="spellEnd"/>
      <w:r w:rsidRPr="00C53C42">
        <w:rPr>
          <w:rFonts w:ascii="Times New Roman" w:eastAsia="Songti TC" w:hAnsi="Times New Roman"/>
          <w:i/>
          <w:sz w:val="24"/>
          <w:szCs w:val="24"/>
          <w:shd w:val="clear" w:color="auto" w:fill="FFFFFF"/>
        </w:rPr>
        <w:t xml:space="preserve"> </w:t>
      </w:r>
      <w:proofErr w:type="spellStart"/>
      <w:r w:rsidRPr="00C53C42">
        <w:rPr>
          <w:rFonts w:ascii="Times New Roman" w:eastAsia="Songti TC" w:hAnsi="Times New Roman"/>
          <w:i/>
          <w:sz w:val="24"/>
          <w:szCs w:val="24"/>
          <w:shd w:val="clear" w:color="auto" w:fill="FFFFFF"/>
        </w:rPr>
        <w:t>yu</w:t>
      </w:r>
      <w:proofErr w:type="spellEnd"/>
      <w:r w:rsidRPr="00C53C42">
        <w:rPr>
          <w:rFonts w:ascii="Times New Roman" w:eastAsia="Songti TC" w:hAnsi="Times New Roman"/>
          <w:i/>
          <w:sz w:val="24"/>
          <w:szCs w:val="24"/>
          <w:shd w:val="clear" w:color="auto" w:fill="FFFFFF"/>
        </w:rPr>
        <w:t xml:space="preserve"> </w:t>
      </w:r>
      <w:proofErr w:type="spellStart"/>
      <w:r w:rsidRPr="00C53C42">
        <w:rPr>
          <w:rFonts w:ascii="Times New Roman" w:eastAsia="Songti TC" w:hAnsi="Times New Roman"/>
          <w:i/>
          <w:sz w:val="24"/>
          <w:szCs w:val="24"/>
          <w:shd w:val="clear" w:color="auto" w:fill="FFFFFF"/>
        </w:rPr>
        <w:t>lu</w:t>
      </w:r>
      <w:proofErr w:type="spellEnd"/>
      <w:r w:rsidRPr="00C53C42">
        <w:rPr>
          <w:rFonts w:ascii="Times New Roman" w:eastAsia="Songti TC" w:hAnsi="Times New Roman"/>
          <w:iCs/>
          <w:sz w:val="24"/>
          <w:szCs w:val="24"/>
          <w:shd w:val="clear" w:color="auto" w:fill="FFFFFF"/>
        </w:rPr>
        <w:t>鹤林玉露</w:t>
      </w:r>
      <w:r w:rsidRPr="00C53C42">
        <w:rPr>
          <w:rFonts w:ascii="Times New Roman" w:eastAsia="Songti TC" w:hAnsi="Times New Roman"/>
          <w:sz w:val="24"/>
          <w:szCs w:val="24"/>
          <w:shd w:val="clear" w:color="auto" w:fill="FFFFFF"/>
        </w:rPr>
        <w:t xml:space="preserve">, a collection of literary anecdotes by LUO Dajing (1196-1242). For example, in the story about ZHANG Liang's assassination of Emperor Qin: "This assassination encouraged many heroes to rebel, which was greatly related to ZHANG Liang’s action." We can easily find sentences such as "The death of ZHUGE </w:t>
      </w:r>
      <w:proofErr w:type="spellStart"/>
      <w:r w:rsidRPr="00C53C42">
        <w:rPr>
          <w:rFonts w:ascii="Times New Roman" w:eastAsia="Songti TC" w:hAnsi="Times New Roman"/>
          <w:sz w:val="24"/>
          <w:szCs w:val="24"/>
          <w:shd w:val="clear" w:color="auto" w:fill="FFFFFF"/>
        </w:rPr>
        <w:t>Kongming</w:t>
      </w:r>
      <w:proofErr w:type="spellEnd"/>
      <w:r w:rsidRPr="00C53C42">
        <w:rPr>
          <w:rFonts w:ascii="Times New Roman" w:eastAsia="Songti TC" w:hAnsi="Times New Roman"/>
          <w:sz w:val="24"/>
          <w:szCs w:val="24"/>
          <w:shd w:val="clear" w:color="auto" w:fill="FFFFFF"/>
        </w:rPr>
        <w:t xml:space="preserve"> has a great impact on many things." "This must be carried out because it is related to morality." The use of "relation" as a noun is derived accordingly</w:t>
      </w:r>
      <w:r w:rsidRPr="00C53C42">
        <w:rPr>
          <w:rStyle w:val="Funotenzeichen"/>
          <w:rFonts w:ascii="Times New Roman" w:eastAsia="Songti TC" w:hAnsi="Times New Roman"/>
          <w:sz w:val="24"/>
          <w:szCs w:val="24"/>
          <w:shd w:val="clear" w:color="auto" w:fill="FFFFFF"/>
        </w:rPr>
        <w:footnoteReference w:id="5"/>
      </w:r>
      <w:r w:rsidR="00C53C42">
        <w:rPr>
          <w:rFonts w:ascii="Times New Roman" w:eastAsia="Songti TC" w:hAnsi="Times New Roman"/>
          <w:sz w:val="24"/>
          <w:szCs w:val="24"/>
          <w:shd w:val="clear" w:color="auto" w:fill="FFFFFF"/>
        </w:rPr>
        <w:t>.</w:t>
      </w:r>
    </w:p>
    <w:p w14:paraId="1A511874" w14:textId="77777777" w:rsidR="004156A6" w:rsidRPr="00C53C42" w:rsidRDefault="004156A6" w:rsidP="00C53C42">
      <w:pPr>
        <w:spacing w:before="120" w:after="120"/>
        <w:rPr>
          <w:rFonts w:ascii="Times New Roman" w:eastAsia="Songti TC" w:hAnsi="Times New Roman"/>
          <w:sz w:val="24"/>
          <w:szCs w:val="24"/>
        </w:rPr>
      </w:pPr>
      <w:r w:rsidRPr="00C53C42">
        <w:rPr>
          <w:rFonts w:ascii="Times New Roman" w:eastAsia="Songti TC" w:hAnsi="Times New Roman"/>
          <w:sz w:val="24"/>
          <w:szCs w:val="24"/>
        </w:rPr>
        <w:t xml:space="preserve">Three sources have greatly influenced the transmutation of Chinese phrases and words: the translation of Buddhist scriptures during the Han and Tang dynasties (202 BC – 907 AD); the "Europeanization" of the Chinese language </w:t>
      </w:r>
      <w:proofErr w:type="gramStart"/>
      <w:r w:rsidRPr="00C53C42">
        <w:rPr>
          <w:rFonts w:ascii="Times New Roman" w:eastAsia="Songti TC" w:hAnsi="Times New Roman"/>
          <w:sz w:val="24"/>
          <w:szCs w:val="24"/>
        </w:rPr>
        <w:t>as a result of</w:t>
      </w:r>
      <w:proofErr w:type="gramEnd"/>
      <w:r w:rsidRPr="00C53C42">
        <w:rPr>
          <w:rFonts w:ascii="Times New Roman" w:eastAsia="Songti TC" w:hAnsi="Times New Roman"/>
          <w:sz w:val="24"/>
          <w:szCs w:val="24"/>
        </w:rPr>
        <w:t xml:space="preserve"> the spread of Western learning in late Ming dynasty (1582 - 1644); and "Chinese terms reproduced in Japan" in the 19</w:t>
      </w:r>
      <w:r w:rsidRPr="00C53C42">
        <w:rPr>
          <w:rFonts w:ascii="Times New Roman" w:eastAsia="Songti TC" w:hAnsi="Times New Roman"/>
          <w:sz w:val="24"/>
          <w:szCs w:val="24"/>
          <w:vertAlign w:val="superscript"/>
        </w:rPr>
        <w:t>th</w:t>
      </w:r>
      <w:r w:rsidRPr="00C53C42">
        <w:rPr>
          <w:rFonts w:ascii="Times New Roman" w:eastAsia="Songti TC" w:hAnsi="Times New Roman"/>
          <w:sz w:val="24"/>
          <w:szCs w:val="24"/>
        </w:rPr>
        <w:t xml:space="preserve"> century. Nevertheless, we cannot find similar sources for "relation." I would rather say that the "relation" itself is mutually located in the relation between the East and the West. Only a two-way interpretation can identify the trajectory of ideas from the traces of the linguistic and cultural encounter and activate the possible connections contained therein.</w:t>
      </w:r>
    </w:p>
    <w:p w14:paraId="5FCA1315" w14:textId="77777777" w:rsidR="004156A6" w:rsidRPr="00C53C42" w:rsidRDefault="004156A6" w:rsidP="00C53C42">
      <w:pPr>
        <w:widowControl/>
        <w:spacing w:before="120" w:after="120"/>
        <w:rPr>
          <w:rFonts w:ascii="Times New Roman" w:eastAsia="Songti TC" w:hAnsi="Times New Roman"/>
          <w:sz w:val="24"/>
          <w:szCs w:val="24"/>
        </w:rPr>
      </w:pPr>
      <w:r w:rsidRPr="00C53C42">
        <w:rPr>
          <w:rFonts w:ascii="Times New Roman" w:eastAsia="Songti TC" w:hAnsi="Times New Roman"/>
          <w:sz w:val="24"/>
          <w:szCs w:val="24"/>
        </w:rPr>
        <w:t>In this light, if we reflect on the West philosophy from a Chinese perspective, we may vaguely find a long chain of thought containing critical terms related to "relation": the ontological “</w:t>
      </w:r>
      <w:proofErr w:type="spellStart"/>
      <w:r w:rsidRPr="00C53C42">
        <w:rPr>
          <w:rFonts w:ascii="Times New Roman" w:eastAsia="Songti TC" w:hAnsi="Times New Roman"/>
          <w:i/>
          <w:iCs/>
          <w:sz w:val="24"/>
          <w:szCs w:val="24"/>
        </w:rPr>
        <w:t>Beziehung</w:t>
      </w:r>
      <w:proofErr w:type="spellEnd"/>
      <w:r w:rsidRPr="00C53C42">
        <w:rPr>
          <w:rFonts w:ascii="Times New Roman" w:eastAsia="Songti TC" w:hAnsi="Times New Roman"/>
          <w:sz w:val="24"/>
          <w:szCs w:val="24"/>
        </w:rPr>
        <w:t>” for Martin Buber,</w:t>
      </w:r>
      <w:r w:rsidRPr="00C53C42">
        <w:rPr>
          <w:rStyle w:val="Funotenzeichen"/>
          <w:rFonts w:ascii="Times New Roman" w:eastAsia="Songti TC" w:hAnsi="Times New Roman"/>
          <w:sz w:val="24"/>
          <w:szCs w:val="24"/>
        </w:rPr>
        <w:footnoteReference w:id="6"/>
      </w:r>
      <w:r w:rsidRPr="00C53C42">
        <w:rPr>
          <w:rFonts w:ascii="Times New Roman" w:eastAsia="Songti TC" w:hAnsi="Times New Roman"/>
          <w:sz w:val="24"/>
          <w:szCs w:val="24"/>
        </w:rPr>
        <w:t xml:space="preserve"> “the method of correlation” for Paul Tillich</w:t>
      </w:r>
      <w:r w:rsidRPr="00C53C42">
        <w:rPr>
          <w:rStyle w:val="Funotenzeichen"/>
          <w:rFonts w:ascii="Times New Roman" w:eastAsia="Songti TC" w:hAnsi="Times New Roman"/>
          <w:sz w:val="24"/>
          <w:szCs w:val="24"/>
        </w:rPr>
        <w:footnoteReference w:id="7"/>
      </w:r>
      <w:r w:rsidRPr="00C53C42">
        <w:rPr>
          <w:rFonts w:ascii="Times New Roman" w:eastAsia="Songti TC" w:hAnsi="Times New Roman"/>
          <w:sz w:val="24"/>
          <w:szCs w:val="24"/>
        </w:rPr>
        <w:t xml:space="preserve"> and “a fertilizing effect” for T. S. Eliot,</w:t>
      </w:r>
      <w:r w:rsidRPr="00C53C42">
        <w:rPr>
          <w:rStyle w:val="Funotenzeichen"/>
          <w:rFonts w:ascii="Times New Roman" w:eastAsia="Songti TC" w:hAnsi="Times New Roman"/>
          <w:sz w:val="24"/>
          <w:szCs w:val="24"/>
        </w:rPr>
        <w:footnoteReference w:id="8"/>
      </w:r>
      <w:r w:rsidRPr="00C53C42">
        <w:rPr>
          <w:rFonts w:ascii="Times New Roman" w:eastAsia="Songti TC" w:hAnsi="Times New Roman"/>
          <w:sz w:val="24"/>
          <w:szCs w:val="24"/>
        </w:rPr>
        <w:t xml:space="preserve"> “the very relation itself” for Martin Heidegger,</w:t>
      </w:r>
      <w:r w:rsidRPr="00C53C42">
        <w:rPr>
          <w:rStyle w:val="Funotenzeichen"/>
          <w:rFonts w:ascii="Times New Roman" w:eastAsia="Songti TC" w:hAnsi="Times New Roman"/>
          <w:sz w:val="24"/>
          <w:szCs w:val="24"/>
        </w:rPr>
        <w:footnoteReference w:id="9"/>
      </w:r>
      <w:r w:rsidRPr="00C53C42">
        <w:rPr>
          <w:rFonts w:ascii="Times New Roman" w:eastAsia="Songti TC" w:hAnsi="Times New Roman"/>
          <w:sz w:val="24"/>
          <w:szCs w:val="24"/>
        </w:rPr>
        <w:t xml:space="preserve"> “la correlation” for Emmanuel Levinas,</w:t>
      </w:r>
      <w:r w:rsidRPr="00C53C42">
        <w:rPr>
          <w:rStyle w:val="Funotenzeichen"/>
          <w:rFonts w:ascii="Times New Roman" w:eastAsia="Songti TC" w:hAnsi="Times New Roman"/>
          <w:sz w:val="24"/>
          <w:szCs w:val="24"/>
        </w:rPr>
        <w:footnoteReference w:id="10"/>
      </w:r>
      <w:r w:rsidRPr="00C53C42">
        <w:rPr>
          <w:rFonts w:ascii="Times New Roman" w:eastAsia="Songti TC" w:hAnsi="Times New Roman"/>
          <w:sz w:val="24"/>
          <w:szCs w:val="24"/>
        </w:rPr>
        <w:t xml:space="preserve"> “the merely relational mediation” for Alain </w:t>
      </w:r>
      <w:proofErr w:type="spellStart"/>
      <w:r w:rsidRPr="00C53C42">
        <w:rPr>
          <w:rFonts w:ascii="Times New Roman" w:eastAsia="Songti TC" w:hAnsi="Times New Roman"/>
          <w:sz w:val="24"/>
          <w:szCs w:val="24"/>
        </w:rPr>
        <w:t>Badiou</w:t>
      </w:r>
      <w:proofErr w:type="spellEnd"/>
      <w:r w:rsidRPr="00C53C42">
        <w:rPr>
          <w:rFonts w:ascii="Times New Roman" w:eastAsia="Songti TC" w:hAnsi="Times New Roman"/>
          <w:sz w:val="24"/>
          <w:szCs w:val="24"/>
        </w:rPr>
        <w:t>,</w:t>
      </w:r>
      <w:r w:rsidRPr="00C53C42">
        <w:rPr>
          <w:rStyle w:val="Funotenzeichen"/>
          <w:rFonts w:ascii="Times New Roman" w:eastAsia="Songti TC" w:hAnsi="Times New Roman"/>
          <w:sz w:val="24"/>
          <w:szCs w:val="24"/>
        </w:rPr>
        <w:footnoteReference w:id="11"/>
      </w:r>
      <w:r w:rsidRPr="00C53C42">
        <w:rPr>
          <w:rFonts w:ascii="Times New Roman" w:eastAsia="Songti TC" w:hAnsi="Times New Roman"/>
          <w:sz w:val="24"/>
          <w:szCs w:val="24"/>
        </w:rPr>
        <w:t xml:space="preserve"> and “Ying-Yang dialogue in place of God” for Julia Kristeva.</w:t>
      </w:r>
      <w:r w:rsidRPr="00C53C42">
        <w:rPr>
          <w:rStyle w:val="Funotenzeichen"/>
          <w:rFonts w:ascii="Times New Roman" w:eastAsia="Songti TC" w:hAnsi="Times New Roman"/>
          <w:sz w:val="24"/>
          <w:szCs w:val="24"/>
        </w:rPr>
        <w:footnoteReference w:id="12"/>
      </w:r>
      <w:r w:rsidRPr="00C53C42">
        <w:rPr>
          <w:rFonts w:ascii="Times New Roman" w:eastAsia="Songti TC" w:hAnsi="Times New Roman"/>
          <w:sz w:val="24"/>
          <w:szCs w:val="24"/>
        </w:rPr>
        <w:t xml:space="preserve"> What is particularly noteworthy is that this "chain" has been deeply inter-textualized with Chinese thought.</w:t>
      </w:r>
    </w:p>
    <w:p w14:paraId="63FF49AD" w14:textId="77777777" w:rsidR="004156A6" w:rsidRPr="00C53C42" w:rsidRDefault="004156A6" w:rsidP="00C53C42">
      <w:pPr>
        <w:spacing w:before="120" w:after="120"/>
        <w:rPr>
          <w:rFonts w:ascii="Times New Roman" w:eastAsia="Songti TC" w:hAnsi="Times New Roman"/>
          <w:kern w:val="0"/>
          <w:sz w:val="24"/>
          <w:szCs w:val="24"/>
        </w:rPr>
      </w:pPr>
      <w:r w:rsidRPr="00C53C42">
        <w:rPr>
          <w:rFonts w:ascii="Times New Roman" w:eastAsia="Songti TC" w:hAnsi="Times New Roman"/>
          <w:sz w:val="24"/>
          <w:szCs w:val="24"/>
        </w:rPr>
        <w:t xml:space="preserve">Take Martin Buber as an example. Buber has a frequently quoted saying - “I become through my relation to the </w:t>
      </w:r>
      <w:r w:rsidRPr="00C53C42">
        <w:rPr>
          <w:rFonts w:ascii="Times New Roman" w:eastAsia="Songti TC" w:hAnsi="Times New Roman"/>
          <w:i/>
          <w:sz w:val="24"/>
          <w:szCs w:val="24"/>
        </w:rPr>
        <w:t>Thou</w:t>
      </w:r>
      <w:r w:rsidRPr="00C53C42">
        <w:rPr>
          <w:rFonts w:ascii="Times New Roman" w:eastAsia="Songti TC" w:hAnsi="Times New Roman"/>
          <w:sz w:val="24"/>
          <w:szCs w:val="24"/>
        </w:rPr>
        <w:t xml:space="preserve">; as I become </w:t>
      </w:r>
      <w:r w:rsidRPr="00C53C42">
        <w:rPr>
          <w:rFonts w:ascii="Times New Roman" w:eastAsia="Songti TC" w:hAnsi="Times New Roman"/>
          <w:i/>
          <w:sz w:val="24"/>
          <w:szCs w:val="24"/>
        </w:rPr>
        <w:t>I</w:t>
      </w:r>
      <w:r w:rsidRPr="00C53C42">
        <w:rPr>
          <w:rFonts w:ascii="Times New Roman" w:eastAsia="Songti TC" w:hAnsi="Times New Roman"/>
          <w:sz w:val="24"/>
          <w:szCs w:val="24"/>
        </w:rPr>
        <w:t xml:space="preserve">, I say </w:t>
      </w:r>
      <w:r w:rsidRPr="00C53C42">
        <w:rPr>
          <w:rFonts w:ascii="Times New Roman" w:eastAsia="Songti TC" w:hAnsi="Times New Roman"/>
          <w:i/>
          <w:sz w:val="24"/>
          <w:szCs w:val="24"/>
        </w:rPr>
        <w:t>Thou.</w:t>
      </w:r>
      <w:r w:rsidRPr="00C53C42">
        <w:rPr>
          <w:rFonts w:ascii="Times New Roman" w:eastAsia="Songti TC" w:hAnsi="Times New Roman"/>
          <w:sz w:val="24"/>
          <w:szCs w:val="24"/>
        </w:rPr>
        <w:t>”</w:t>
      </w:r>
      <w:r w:rsidRPr="00C53C42">
        <w:rPr>
          <w:rStyle w:val="Funotenzeichen"/>
          <w:rFonts w:ascii="Times New Roman" w:eastAsia="Songti TC" w:hAnsi="Times New Roman"/>
          <w:sz w:val="24"/>
          <w:szCs w:val="24"/>
        </w:rPr>
        <w:footnoteReference w:id="13"/>
      </w:r>
      <w:r w:rsidRPr="00C53C42">
        <w:rPr>
          <w:rFonts w:ascii="Times New Roman" w:eastAsia="Songti TC" w:hAnsi="Times New Roman"/>
          <w:sz w:val="24"/>
          <w:szCs w:val="24"/>
        </w:rPr>
        <w:t xml:space="preserve">James Brown interprets </w:t>
      </w:r>
      <w:r w:rsidRPr="00C53C42">
        <w:rPr>
          <w:rFonts w:ascii="Times New Roman" w:eastAsia="Songti TC" w:hAnsi="Times New Roman"/>
          <w:sz w:val="24"/>
          <w:szCs w:val="24"/>
        </w:rPr>
        <w:lastRenderedPageBreak/>
        <w:t>this saying as “a correlative action towards its own being.” He believes “the famous saying is even more pregnant in the original German.”</w:t>
      </w:r>
      <w:r w:rsidRPr="00C53C42">
        <w:rPr>
          <w:rStyle w:val="Funotenzeichen"/>
          <w:rFonts w:ascii="Times New Roman" w:eastAsia="Songti TC" w:hAnsi="Times New Roman"/>
          <w:sz w:val="24"/>
          <w:szCs w:val="24"/>
        </w:rPr>
        <w:footnoteReference w:id="14"/>
      </w:r>
      <w:r w:rsidRPr="00C53C42">
        <w:rPr>
          <w:rFonts w:ascii="Times New Roman" w:eastAsia="Songti TC" w:hAnsi="Times New Roman"/>
          <w:sz w:val="24"/>
          <w:szCs w:val="24"/>
        </w:rPr>
        <w:t xml:space="preserve">Brown points out that thirteen years before </w:t>
      </w:r>
      <w:r w:rsidRPr="00C53C42">
        <w:rPr>
          <w:rFonts w:ascii="Times New Roman" w:eastAsia="Songti TC" w:hAnsi="Times New Roman"/>
          <w:i/>
          <w:sz w:val="24"/>
          <w:szCs w:val="24"/>
        </w:rPr>
        <w:t>I and Thou</w:t>
      </w:r>
      <w:r w:rsidRPr="00C53C42">
        <w:rPr>
          <w:rFonts w:ascii="Times New Roman" w:eastAsia="Songti TC" w:hAnsi="Times New Roman"/>
          <w:sz w:val="24"/>
          <w:szCs w:val="24"/>
        </w:rPr>
        <w:t xml:space="preserve"> was published, based on three English translations (Giles, James </w:t>
      </w:r>
      <w:proofErr w:type="spellStart"/>
      <w:r w:rsidRPr="00C53C42">
        <w:rPr>
          <w:rFonts w:ascii="Times New Roman" w:eastAsia="Songti TC" w:hAnsi="Times New Roman"/>
          <w:sz w:val="24"/>
          <w:szCs w:val="24"/>
        </w:rPr>
        <w:t>Legge</w:t>
      </w:r>
      <w:proofErr w:type="spellEnd"/>
      <w:r w:rsidRPr="00C53C42">
        <w:rPr>
          <w:rFonts w:ascii="Times New Roman" w:eastAsia="Songti TC" w:hAnsi="Times New Roman"/>
          <w:sz w:val="24"/>
          <w:szCs w:val="24"/>
        </w:rPr>
        <w:t>, and F. H. Balfour), Buber translated some discourses and fables from Zhuangzi into German.</w:t>
      </w:r>
      <w:r w:rsidRPr="00C53C42">
        <w:rPr>
          <w:rStyle w:val="Funotenzeichen"/>
          <w:rFonts w:ascii="Times New Roman" w:eastAsia="Songti TC" w:hAnsi="Times New Roman"/>
          <w:sz w:val="24"/>
          <w:szCs w:val="24"/>
        </w:rPr>
        <w:footnoteReference w:id="15"/>
      </w:r>
      <w:r w:rsidRPr="00C53C42">
        <w:rPr>
          <w:rFonts w:ascii="Times New Roman" w:eastAsia="Songti TC" w:hAnsi="Times New Roman"/>
          <w:sz w:val="24"/>
          <w:szCs w:val="24"/>
        </w:rPr>
        <w:t>Since Buber does not know Chinese, “virtually every line of Buber's translation can be traced to one of these sources,” and “he occasionally (and very significantly) paraphrases loosely, combines sources, and splices editorial comments from the various translators directly into the text.”</w:t>
      </w:r>
      <w:r w:rsidRPr="00C53C42">
        <w:rPr>
          <w:rStyle w:val="Funotenzeichen"/>
          <w:rFonts w:ascii="Times New Roman" w:eastAsia="Songti TC" w:hAnsi="Times New Roman"/>
          <w:sz w:val="24"/>
          <w:szCs w:val="24"/>
        </w:rPr>
        <w:footnoteReference w:id="16"/>
      </w:r>
      <w:r w:rsidRPr="00C53C42">
        <w:rPr>
          <w:rFonts w:ascii="Times New Roman" w:eastAsia="Songti TC" w:hAnsi="Times New Roman"/>
          <w:sz w:val="24"/>
          <w:szCs w:val="24"/>
        </w:rPr>
        <w:t xml:space="preserve"> However, when translating a very critical sentence in Chapter “Autumn River,”</w:t>
      </w:r>
      <w:r w:rsidRPr="00C53C42">
        <w:rPr>
          <w:rStyle w:val="Funotenzeichen"/>
          <w:rFonts w:ascii="Times New Roman" w:eastAsia="Songti TC" w:hAnsi="Times New Roman"/>
          <w:sz w:val="24"/>
          <w:szCs w:val="24"/>
        </w:rPr>
        <w:footnoteReference w:id="17"/>
      </w:r>
      <w:r w:rsidRPr="00C53C42">
        <w:rPr>
          <w:rFonts w:ascii="Times New Roman" w:eastAsia="Songti TC" w:hAnsi="Times New Roman"/>
          <w:sz w:val="24"/>
          <w:szCs w:val="24"/>
        </w:rPr>
        <w:t>Buber does not follow anyone of them but chooses a German word according to his own understanding. This Chinese phrase “</w:t>
      </w:r>
      <w:r w:rsidRPr="00C53C42">
        <w:rPr>
          <w:rFonts w:ascii="Times New Roman" w:eastAsia="Songti TC" w:hAnsi="Times New Roman"/>
          <w:i/>
          <w:iCs/>
          <w:sz w:val="24"/>
          <w:szCs w:val="24"/>
        </w:rPr>
        <w:t>gong fen</w:t>
      </w:r>
      <w:r w:rsidRPr="00C53C42">
        <w:rPr>
          <w:rFonts w:ascii="Times New Roman" w:eastAsia="Songti TC" w:hAnsi="Times New Roman"/>
          <w:sz w:val="24"/>
          <w:szCs w:val="24"/>
        </w:rPr>
        <w:t>功分</w:t>
      </w:r>
      <w:r w:rsidRPr="00C53C42">
        <w:rPr>
          <w:rFonts w:ascii="Times New Roman" w:eastAsia="Songti TC" w:hAnsi="Times New Roman"/>
          <w:sz w:val="24"/>
          <w:szCs w:val="24"/>
        </w:rPr>
        <w:t xml:space="preserve">” is rendered “function” by Giles, “efficacy” by Frederic H. Balfour, and “services they render” by James </w:t>
      </w:r>
      <w:proofErr w:type="spellStart"/>
      <w:r w:rsidRPr="00C53C42">
        <w:rPr>
          <w:rFonts w:ascii="Times New Roman" w:eastAsia="Songti TC" w:hAnsi="Times New Roman"/>
          <w:sz w:val="24"/>
          <w:szCs w:val="24"/>
        </w:rPr>
        <w:t>Legge</w:t>
      </w:r>
      <w:proofErr w:type="spellEnd"/>
      <w:r w:rsidRPr="00C53C42">
        <w:rPr>
          <w:rFonts w:ascii="Times New Roman" w:eastAsia="Songti TC" w:hAnsi="Times New Roman"/>
          <w:sz w:val="24"/>
          <w:szCs w:val="24"/>
        </w:rPr>
        <w:t xml:space="preserve">. Only Buber, who does not know Chinese, thought that the key to "convertible and yet necessary terms" is "in relation to each other" or to "east and west," so he chooses without hesitation the German word </w:t>
      </w:r>
      <w:proofErr w:type="spellStart"/>
      <w:r w:rsidRPr="00C53C42">
        <w:rPr>
          <w:rFonts w:ascii="Times New Roman" w:eastAsia="Songti TC" w:hAnsi="Times New Roman"/>
          <w:i/>
          <w:sz w:val="24"/>
          <w:szCs w:val="24"/>
        </w:rPr>
        <w:t>Beziehung</w:t>
      </w:r>
      <w:proofErr w:type="spellEnd"/>
      <w:r w:rsidRPr="00C53C42">
        <w:rPr>
          <w:rFonts w:ascii="Times New Roman" w:eastAsia="Songti TC" w:hAnsi="Times New Roman"/>
          <w:sz w:val="24"/>
          <w:szCs w:val="24"/>
        </w:rPr>
        <w:t xml:space="preserve">. In this light, it is understandable why Heidegger’s </w:t>
      </w:r>
      <w:r w:rsidRPr="00C53C42">
        <w:rPr>
          <w:rFonts w:ascii="Times New Roman" w:eastAsia="Songti TC" w:hAnsi="Times New Roman"/>
          <w:i/>
          <w:sz w:val="24"/>
          <w:szCs w:val="24"/>
        </w:rPr>
        <w:t>Identity and Difference</w:t>
      </w:r>
      <w:r w:rsidRPr="00C53C42">
        <w:rPr>
          <w:rFonts w:ascii="Times New Roman" w:eastAsia="Songti TC" w:hAnsi="Times New Roman"/>
          <w:sz w:val="24"/>
          <w:szCs w:val="24"/>
        </w:rPr>
        <w:t xml:space="preserve"> "does not inquire into the components of the relation, but into the relation as a relation," why he “asks about the very relation itself,”</w:t>
      </w:r>
      <w:r w:rsidRPr="00C53C42">
        <w:rPr>
          <w:rStyle w:val="Funotenzeichen"/>
          <w:rFonts w:ascii="Times New Roman" w:eastAsia="Songti TC" w:hAnsi="Times New Roman"/>
          <w:kern w:val="0"/>
          <w:sz w:val="24"/>
          <w:szCs w:val="24"/>
        </w:rPr>
        <w:t xml:space="preserve"> </w:t>
      </w:r>
      <w:r w:rsidRPr="00C53C42">
        <w:rPr>
          <w:rStyle w:val="Funotenzeichen"/>
          <w:rFonts w:ascii="Times New Roman" w:eastAsia="Songti TC" w:hAnsi="Times New Roman"/>
          <w:kern w:val="0"/>
          <w:sz w:val="24"/>
          <w:szCs w:val="24"/>
        </w:rPr>
        <w:footnoteReference w:id="18"/>
      </w:r>
      <w:r w:rsidRPr="00C53C42">
        <w:rPr>
          <w:rFonts w:ascii="Times New Roman" w:eastAsia="Songti TC" w:hAnsi="Times New Roman"/>
          <w:sz w:val="24"/>
          <w:szCs w:val="24"/>
        </w:rPr>
        <w:t xml:space="preserve"> and why he thinks that it is from "difference" to "relation" that the traditional metaphysics of "the structure of both ontology and theology"</w:t>
      </w:r>
      <w:r w:rsidRPr="00C53C42">
        <w:rPr>
          <w:rStyle w:val="Funotenzeichen"/>
          <w:rFonts w:ascii="Times New Roman" w:eastAsia="Songti TC" w:hAnsi="Times New Roman"/>
          <w:sz w:val="24"/>
          <w:szCs w:val="24"/>
        </w:rPr>
        <w:footnoteReference w:id="19"/>
      </w:r>
      <w:r w:rsidRPr="00C53C42">
        <w:rPr>
          <w:rFonts w:ascii="Times New Roman" w:eastAsia="Songti TC" w:hAnsi="Times New Roman"/>
          <w:sz w:val="24"/>
          <w:szCs w:val="24"/>
        </w:rPr>
        <w:t>can be overcome.</w:t>
      </w:r>
    </w:p>
    <w:p w14:paraId="2F241785" w14:textId="77777777" w:rsidR="004156A6" w:rsidRPr="00C53C42" w:rsidRDefault="004156A6" w:rsidP="00C53C42">
      <w:pPr>
        <w:spacing w:before="120" w:after="120"/>
        <w:rPr>
          <w:rFonts w:ascii="Times New Roman" w:eastAsia="Songti TC" w:hAnsi="Times New Roman"/>
          <w:kern w:val="0"/>
          <w:sz w:val="24"/>
          <w:szCs w:val="24"/>
        </w:rPr>
      </w:pPr>
      <w:r w:rsidRPr="00C53C42">
        <w:rPr>
          <w:rFonts w:ascii="Times New Roman" w:eastAsia="Songti TC" w:hAnsi="Times New Roman"/>
          <w:kern w:val="0"/>
          <w:sz w:val="24"/>
          <w:szCs w:val="24"/>
        </w:rPr>
        <w:t xml:space="preserve">Julia Kristeva has a similar discussion in her work </w:t>
      </w:r>
      <w:r w:rsidRPr="00C53C42">
        <w:rPr>
          <w:rFonts w:ascii="Times New Roman" w:eastAsia="Songti TC" w:hAnsi="Times New Roman"/>
          <w:i/>
          <w:kern w:val="0"/>
          <w:sz w:val="24"/>
          <w:szCs w:val="24"/>
        </w:rPr>
        <w:t>Desire in Language: A Semiotic Approach to Literature and Art</w:t>
      </w:r>
      <w:r w:rsidRPr="00C53C42">
        <w:rPr>
          <w:rFonts w:ascii="Times New Roman" w:eastAsia="Songti TC" w:hAnsi="Times New Roman"/>
          <w:kern w:val="0"/>
          <w:sz w:val="24"/>
          <w:szCs w:val="24"/>
        </w:rPr>
        <w:t>,</w:t>
      </w:r>
      <w:r w:rsidRPr="00C53C42">
        <w:rPr>
          <w:rStyle w:val="Funotenzeichen"/>
          <w:rFonts w:ascii="Times New Roman" w:eastAsia="Songti TC" w:hAnsi="Times New Roman"/>
          <w:sz w:val="24"/>
          <w:szCs w:val="24"/>
        </w:rPr>
        <w:footnoteReference w:id="20"/>
      </w:r>
      <w:r w:rsidRPr="00C53C42">
        <w:rPr>
          <w:rFonts w:ascii="Times New Roman" w:eastAsia="Songti TC" w:hAnsi="Times New Roman"/>
          <w:kern w:val="0"/>
          <w:sz w:val="24"/>
          <w:szCs w:val="24"/>
        </w:rPr>
        <w:t xml:space="preserve"> in which she categorizes traditional Chinese philosophy and Michael Bakhtin’s “polyphonic novels” into two kinds of “poetic discourses,” respectively representing the East and the West. Kristeva argues that the fundamental features of both are “</w:t>
      </w:r>
      <w:r w:rsidRPr="00C53C42">
        <w:rPr>
          <w:rFonts w:ascii="Times New Roman" w:eastAsia="Songti TC" w:hAnsi="Times New Roman"/>
          <w:sz w:val="24"/>
          <w:szCs w:val="24"/>
        </w:rPr>
        <w:t>the effort … to break out the framework of casually determined identical substances,” so “analogy and relation” will replace “identity and substance.”</w:t>
      </w:r>
      <w:r w:rsidRPr="00C53C42">
        <w:rPr>
          <w:rStyle w:val="Funotenzeichen"/>
          <w:rFonts w:ascii="Times New Roman" w:eastAsia="Songti TC" w:hAnsi="Times New Roman"/>
          <w:sz w:val="24"/>
          <w:szCs w:val="24"/>
        </w:rPr>
        <w:footnoteReference w:id="21"/>
      </w:r>
      <w:r w:rsidRPr="00C53C42">
        <w:rPr>
          <w:rFonts w:ascii="Times New Roman" w:eastAsia="Songti TC" w:hAnsi="Times New Roman"/>
          <w:sz w:val="24"/>
          <w:szCs w:val="24"/>
        </w:rPr>
        <w:t>In her view, this is “dialogism and ambivalence” and “the only linguistic practice to escape the prohibition.”</w:t>
      </w:r>
      <w:r w:rsidRPr="00C53C42">
        <w:rPr>
          <w:rStyle w:val="Funotenzeichen"/>
          <w:rFonts w:ascii="Times New Roman" w:eastAsia="Songti TC" w:hAnsi="Times New Roman"/>
          <w:sz w:val="24"/>
          <w:szCs w:val="24"/>
        </w:rPr>
        <w:footnoteReference w:id="22"/>
      </w:r>
      <w:r w:rsidRPr="00C53C42">
        <w:rPr>
          <w:rFonts w:ascii="Times New Roman" w:eastAsia="Songti TC" w:hAnsi="Times New Roman"/>
          <w:sz w:val="24"/>
          <w:szCs w:val="24"/>
        </w:rPr>
        <w:t xml:space="preserve">In her discussion, Kristeva briefly mentioned a "Chinese philosopher ZHANG </w:t>
      </w:r>
      <w:proofErr w:type="spellStart"/>
      <w:r w:rsidRPr="00C53C42">
        <w:rPr>
          <w:rFonts w:ascii="Times New Roman" w:eastAsia="Songti TC" w:hAnsi="Times New Roman"/>
          <w:sz w:val="24"/>
          <w:szCs w:val="24"/>
        </w:rPr>
        <w:t>Dongsun</w:t>
      </w:r>
      <w:proofErr w:type="spellEnd"/>
      <w:r w:rsidRPr="00C53C42">
        <w:rPr>
          <w:rFonts w:ascii="Times New Roman" w:eastAsia="Songti TC" w:hAnsi="Times New Roman"/>
          <w:sz w:val="24"/>
          <w:szCs w:val="24"/>
        </w:rPr>
        <w:t>," and it is evident that she had thoroughly read ZHANG's article "Thought, Language and Culture."</w:t>
      </w:r>
    </w:p>
    <w:p w14:paraId="25D6FD60" w14:textId="77777777" w:rsidR="004156A6" w:rsidRPr="00C53C42" w:rsidRDefault="004156A6" w:rsidP="00C53C42">
      <w:pPr>
        <w:spacing w:before="120" w:after="120"/>
        <w:rPr>
          <w:rFonts w:ascii="Times New Roman" w:eastAsia="Songti TC" w:hAnsi="Times New Roman"/>
          <w:sz w:val="24"/>
          <w:szCs w:val="24"/>
        </w:rPr>
      </w:pPr>
      <w:r w:rsidRPr="00C53C42">
        <w:rPr>
          <w:rFonts w:ascii="Times New Roman" w:eastAsia="Songti TC" w:hAnsi="Times New Roman"/>
          <w:sz w:val="24"/>
          <w:szCs w:val="24"/>
        </w:rPr>
        <w:t xml:space="preserve">ZHANG’s article was originally published in </w:t>
      </w:r>
      <w:proofErr w:type="spellStart"/>
      <w:r w:rsidRPr="00C53C42">
        <w:rPr>
          <w:rFonts w:ascii="Times New Roman" w:eastAsia="Songti TC" w:hAnsi="Times New Roman"/>
          <w:i/>
          <w:sz w:val="24"/>
          <w:szCs w:val="24"/>
        </w:rPr>
        <w:t>Sociologia</w:t>
      </w:r>
      <w:proofErr w:type="spellEnd"/>
      <w:r w:rsidRPr="00C53C42">
        <w:rPr>
          <w:rFonts w:ascii="Times New Roman" w:eastAsia="Songti TC" w:hAnsi="Times New Roman"/>
          <w:iCs/>
          <w:sz w:val="24"/>
          <w:szCs w:val="24"/>
        </w:rPr>
        <w:t>,</w:t>
      </w:r>
      <w:r w:rsidRPr="00C53C42">
        <w:rPr>
          <w:rStyle w:val="Funotenzeichen"/>
          <w:rFonts w:ascii="Times New Roman" w:eastAsia="Songti TC" w:hAnsi="Times New Roman"/>
          <w:sz w:val="24"/>
          <w:szCs w:val="24"/>
        </w:rPr>
        <w:footnoteReference w:id="23"/>
      </w:r>
      <w:r w:rsidRPr="00C53C42">
        <w:rPr>
          <w:rFonts w:ascii="Times New Roman" w:eastAsia="Songti TC" w:hAnsi="Times New Roman"/>
          <w:iCs/>
          <w:sz w:val="24"/>
          <w:szCs w:val="24"/>
        </w:rPr>
        <w:t xml:space="preserve"> </w:t>
      </w:r>
      <w:r w:rsidRPr="00C53C42">
        <w:rPr>
          <w:rFonts w:ascii="Times New Roman" w:eastAsia="Songti TC" w:hAnsi="Times New Roman"/>
          <w:sz w:val="24"/>
          <w:szCs w:val="24"/>
        </w:rPr>
        <w:t xml:space="preserve">and in June of the same year, the newly founded English journal </w:t>
      </w:r>
      <w:r w:rsidRPr="00C53C42">
        <w:rPr>
          <w:rFonts w:ascii="Times New Roman" w:eastAsia="Songti TC" w:hAnsi="Times New Roman"/>
          <w:i/>
          <w:kern w:val="0"/>
          <w:sz w:val="24"/>
          <w:szCs w:val="24"/>
        </w:rPr>
        <w:t xml:space="preserve">The </w:t>
      </w:r>
      <w:proofErr w:type="spellStart"/>
      <w:r w:rsidRPr="00C53C42">
        <w:rPr>
          <w:rFonts w:ascii="Times New Roman" w:eastAsia="Songti TC" w:hAnsi="Times New Roman"/>
          <w:i/>
          <w:kern w:val="0"/>
          <w:sz w:val="24"/>
          <w:szCs w:val="24"/>
        </w:rPr>
        <w:t>Yenching</w:t>
      </w:r>
      <w:proofErr w:type="spellEnd"/>
      <w:r w:rsidRPr="00C53C42">
        <w:rPr>
          <w:rFonts w:ascii="Times New Roman" w:eastAsia="Songti TC" w:hAnsi="Times New Roman"/>
          <w:i/>
          <w:kern w:val="0"/>
          <w:sz w:val="24"/>
          <w:szCs w:val="24"/>
        </w:rPr>
        <w:t xml:space="preserve"> Journal of Social Studies</w:t>
      </w:r>
      <w:r w:rsidRPr="00C53C42">
        <w:rPr>
          <w:rFonts w:ascii="Times New Roman" w:eastAsia="Songti TC" w:hAnsi="Times New Roman"/>
          <w:kern w:val="0"/>
          <w:sz w:val="24"/>
          <w:szCs w:val="24"/>
        </w:rPr>
        <w:t xml:space="preserve"> published </w:t>
      </w:r>
      <w:r w:rsidRPr="00C53C42">
        <w:rPr>
          <w:rFonts w:ascii="Times New Roman" w:eastAsia="Songti TC" w:hAnsi="Times New Roman"/>
          <w:kern w:val="0"/>
          <w:sz w:val="24"/>
          <w:szCs w:val="24"/>
        </w:rPr>
        <w:lastRenderedPageBreak/>
        <w:t>the English version, translated by the editor-in-chief of the journal LI An-</w:t>
      </w:r>
      <w:proofErr w:type="spellStart"/>
      <w:r w:rsidRPr="00C53C42">
        <w:rPr>
          <w:rFonts w:ascii="Times New Roman" w:eastAsia="Songti TC" w:hAnsi="Times New Roman"/>
          <w:kern w:val="0"/>
          <w:sz w:val="24"/>
          <w:szCs w:val="24"/>
        </w:rPr>
        <w:t>che</w:t>
      </w:r>
      <w:proofErr w:type="spellEnd"/>
      <w:r w:rsidRPr="00C53C42">
        <w:rPr>
          <w:rFonts w:ascii="Times New Roman" w:eastAsia="Songti TC" w:hAnsi="Times New Roman"/>
          <w:sz w:val="24"/>
          <w:szCs w:val="24"/>
        </w:rPr>
        <w:t>.</w:t>
      </w:r>
      <w:r w:rsidRPr="00C53C42">
        <w:rPr>
          <w:rFonts w:ascii="Times New Roman" w:eastAsia="Songti TC" w:hAnsi="Times New Roman"/>
          <w:kern w:val="0"/>
          <w:sz w:val="24"/>
          <w:szCs w:val="24"/>
        </w:rPr>
        <w:t xml:space="preserve"> The name of the article was changed to "A Chinese Philosopher's Theory of Knowledge."</w:t>
      </w:r>
      <w:r w:rsidRPr="00C53C42">
        <w:rPr>
          <w:rStyle w:val="Funotenzeichen"/>
          <w:rFonts w:ascii="Times New Roman" w:eastAsia="Songti TC" w:hAnsi="Times New Roman"/>
          <w:kern w:val="0"/>
          <w:sz w:val="24"/>
          <w:szCs w:val="24"/>
        </w:rPr>
        <w:footnoteReference w:id="24"/>
      </w:r>
      <w:r w:rsidRPr="00C53C42">
        <w:rPr>
          <w:rFonts w:ascii="Times New Roman" w:eastAsia="Songti TC" w:hAnsi="Times New Roman"/>
          <w:kern w:val="0"/>
          <w:sz w:val="24"/>
          <w:szCs w:val="24"/>
        </w:rPr>
        <w:t xml:space="preserve"> About 18 years later, in 1956, </w:t>
      </w:r>
      <w:proofErr w:type="spellStart"/>
      <w:r w:rsidRPr="00C53C42">
        <w:rPr>
          <w:rFonts w:ascii="Times New Roman" w:eastAsia="Songti TC" w:hAnsi="Times New Roman"/>
          <w:kern w:val="0"/>
          <w:sz w:val="24"/>
          <w:szCs w:val="24"/>
        </w:rPr>
        <w:t>Haridas</w:t>
      </w:r>
      <w:proofErr w:type="spellEnd"/>
      <w:r w:rsidRPr="00C53C42">
        <w:rPr>
          <w:rFonts w:ascii="Times New Roman" w:eastAsia="Songti TC" w:hAnsi="Times New Roman"/>
          <w:kern w:val="0"/>
          <w:sz w:val="24"/>
          <w:szCs w:val="24"/>
        </w:rPr>
        <w:t xml:space="preserve"> T. </w:t>
      </w:r>
      <w:proofErr w:type="spellStart"/>
      <w:r w:rsidRPr="00C53C42">
        <w:rPr>
          <w:rFonts w:ascii="Times New Roman" w:eastAsia="Songti TC" w:hAnsi="Times New Roman"/>
          <w:kern w:val="0"/>
          <w:sz w:val="24"/>
          <w:szCs w:val="24"/>
        </w:rPr>
        <w:t>Muzumdar</w:t>
      </w:r>
      <w:proofErr w:type="spellEnd"/>
      <w:r w:rsidRPr="00C53C42">
        <w:rPr>
          <w:rFonts w:ascii="Times New Roman" w:eastAsia="Songti TC" w:hAnsi="Times New Roman"/>
          <w:kern w:val="0"/>
          <w:sz w:val="24"/>
          <w:szCs w:val="24"/>
        </w:rPr>
        <w:t xml:space="preserve">, an </w:t>
      </w:r>
      <w:proofErr w:type="gramStart"/>
      <w:r w:rsidRPr="00C53C42">
        <w:rPr>
          <w:rFonts w:ascii="Times New Roman" w:eastAsia="Songti TC" w:hAnsi="Times New Roman"/>
          <w:kern w:val="0"/>
          <w:sz w:val="24"/>
          <w:szCs w:val="24"/>
        </w:rPr>
        <w:t>Indian-American</w:t>
      </w:r>
      <w:proofErr w:type="gramEnd"/>
      <w:r w:rsidRPr="00C53C42">
        <w:rPr>
          <w:rFonts w:ascii="Times New Roman" w:eastAsia="Songti TC" w:hAnsi="Times New Roman"/>
          <w:kern w:val="0"/>
          <w:sz w:val="24"/>
          <w:szCs w:val="24"/>
        </w:rPr>
        <w:t xml:space="preserve"> scholar at Cornell College, published an article with the same title, offering a new translation as well as an interpretation of ZHANG </w:t>
      </w:r>
      <w:proofErr w:type="spellStart"/>
      <w:r w:rsidRPr="00C53C42">
        <w:rPr>
          <w:rFonts w:ascii="Times New Roman" w:eastAsia="Songti TC" w:hAnsi="Times New Roman"/>
          <w:kern w:val="0"/>
          <w:sz w:val="24"/>
          <w:szCs w:val="24"/>
        </w:rPr>
        <w:t>Dongsun’s</w:t>
      </w:r>
      <w:proofErr w:type="spellEnd"/>
      <w:r w:rsidRPr="00C53C42">
        <w:rPr>
          <w:rFonts w:ascii="Times New Roman" w:eastAsia="Songti TC" w:hAnsi="Times New Roman"/>
          <w:kern w:val="0"/>
          <w:sz w:val="24"/>
          <w:szCs w:val="24"/>
        </w:rPr>
        <w:t xml:space="preserve"> article.</w:t>
      </w:r>
      <w:r w:rsidRPr="00C53C42">
        <w:rPr>
          <w:rStyle w:val="Funotenzeichen"/>
          <w:rFonts w:ascii="Times New Roman" w:eastAsia="Songti TC" w:hAnsi="Times New Roman"/>
          <w:kern w:val="0"/>
          <w:sz w:val="24"/>
          <w:szCs w:val="24"/>
        </w:rPr>
        <w:footnoteReference w:id="25"/>
      </w:r>
      <w:r w:rsidRPr="00C53C42">
        <w:rPr>
          <w:rFonts w:ascii="Times New Roman" w:eastAsia="Songti TC" w:hAnsi="Times New Roman"/>
          <w:kern w:val="0"/>
          <w:sz w:val="24"/>
          <w:szCs w:val="24"/>
        </w:rPr>
        <w:t xml:space="preserve"> </w:t>
      </w:r>
    </w:p>
    <w:p w14:paraId="2F87FACB" w14:textId="77777777" w:rsidR="004156A6" w:rsidRPr="00C53C42" w:rsidRDefault="004156A6" w:rsidP="00C53C42">
      <w:pPr>
        <w:spacing w:before="120" w:after="120"/>
        <w:rPr>
          <w:rFonts w:ascii="Times New Roman" w:eastAsia="Songti TC" w:hAnsi="Times New Roman"/>
          <w:sz w:val="24"/>
          <w:szCs w:val="24"/>
        </w:rPr>
      </w:pPr>
      <w:r w:rsidRPr="00C53C42">
        <w:rPr>
          <w:rFonts w:ascii="Times New Roman" w:eastAsia="Songti TC" w:hAnsi="Times New Roman"/>
          <w:sz w:val="24"/>
          <w:szCs w:val="24"/>
        </w:rPr>
        <w:t>ZHANG's main argument is to differentiate the Western "identity logic" from Chinese "correlation logic." He argues that the former comes along with a “subject-predicate proposition,” and the latter is in fact, the “antithetical grammar and syntax,” a term re-proposed by Chinese scholars in recent years.</w:t>
      </w:r>
      <w:r w:rsidRPr="00C53C42">
        <w:rPr>
          <w:rStyle w:val="Funotenzeichen"/>
          <w:rFonts w:ascii="Times New Roman" w:eastAsia="Songti TC" w:hAnsi="Times New Roman"/>
          <w:sz w:val="24"/>
          <w:szCs w:val="24"/>
        </w:rPr>
        <w:footnoteReference w:id="26"/>
      </w:r>
      <w:r w:rsidRPr="00C53C42">
        <w:rPr>
          <w:rFonts w:ascii="Times New Roman" w:eastAsia="Songti TC" w:hAnsi="Times New Roman"/>
          <w:sz w:val="24"/>
          <w:szCs w:val="24"/>
        </w:rPr>
        <w:t xml:space="preserve"> </w:t>
      </w:r>
      <w:proofErr w:type="spellStart"/>
      <w:r w:rsidRPr="00C53C42">
        <w:rPr>
          <w:rFonts w:ascii="Times New Roman" w:eastAsia="Songti TC" w:hAnsi="Times New Roman"/>
          <w:sz w:val="24"/>
          <w:szCs w:val="24"/>
        </w:rPr>
        <w:t>Muzumdar</w:t>
      </w:r>
      <w:proofErr w:type="spellEnd"/>
      <w:r w:rsidRPr="00C53C42">
        <w:rPr>
          <w:rFonts w:ascii="Times New Roman" w:eastAsia="Songti TC" w:hAnsi="Times New Roman"/>
          <w:sz w:val="24"/>
          <w:szCs w:val="24"/>
        </w:rPr>
        <w:t xml:space="preserve"> thus outlines three characteristics of Chinese thought: correlation logic, non-exclusive classification, and analogical definition,</w:t>
      </w:r>
      <w:r w:rsidRPr="00C53C42">
        <w:rPr>
          <w:rStyle w:val="Funotenzeichen"/>
          <w:rFonts w:ascii="Times New Roman" w:eastAsia="Songti TC" w:hAnsi="Times New Roman"/>
          <w:sz w:val="24"/>
          <w:szCs w:val="24"/>
        </w:rPr>
        <w:footnoteReference w:id="27"/>
      </w:r>
      <w:r w:rsidRPr="00C53C42">
        <w:rPr>
          <w:rFonts w:ascii="Times New Roman" w:eastAsia="Songti TC" w:hAnsi="Times New Roman"/>
          <w:sz w:val="24"/>
          <w:szCs w:val="24"/>
        </w:rPr>
        <w:t xml:space="preserve"> which is precisely what Kristeva calls "poetic discourse."  Kristeva leaves a special note for this paragraph: "Modern physics and ancient Chinese thought ... are equally anti-Aristotelian, anti-monological and dialogical."</w:t>
      </w:r>
      <w:r w:rsidRPr="00C53C42">
        <w:rPr>
          <w:rStyle w:val="Funotenzeichen"/>
          <w:rFonts w:ascii="Times New Roman" w:eastAsia="Songti TC" w:hAnsi="Times New Roman"/>
          <w:sz w:val="24"/>
          <w:szCs w:val="24"/>
        </w:rPr>
        <w:footnoteReference w:id="28"/>
      </w:r>
      <w:r w:rsidRPr="00C53C42">
        <w:rPr>
          <w:rFonts w:ascii="Times New Roman" w:eastAsia="Songti TC" w:hAnsi="Times New Roman"/>
          <w:sz w:val="24"/>
          <w:szCs w:val="24"/>
        </w:rPr>
        <w:t xml:space="preserve"> This is what she called “Yin-Yang dialogue… in place of God”.</w:t>
      </w:r>
      <w:r w:rsidRPr="00C53C42">
        <w:rPr>
          <w:rStyle w:val="Funotenzeichen"/>
          <w:rFonts w:ascii="Times New Roman" w:eastAsia="Songti TC" w:hAnsi="Times New Roman"/>
          <w:sz w:val="24"/>
          <w:szCs w:val="24"/>
        </w:rPr>
        <w:footnoteReference w:id="29"/>
      </w:r>
    </w:p>
    <w:p w14:paraId="1F74BDED" w14:textId="77777777" w:rsidR="004156A6" w:rsidRPr="00C53C42" w:rsidRDefault="004156A6" w:rsidP="00C53C42">
      <w:pPr>
        <w:spacing w:before="120" w:after="120"/>
        <w:rPr>
          <w:rFonts w:ascii="Times New Roman" w:eastAsia="Songti TC" w:hAnsi="Times New Roman"/>
          <w:sz w:val="24"/>
          <w:szCs w:val="24"/>
        </w:rPr>
      </w:pPr>
      <w:r w:rsidRPr="00C53C42">
        <w:rPr>
          <w:rFonts w:ascii="Times New Roman" w:eastAsia="Songti TC" w:hAnsi="Times New Roman"/>
          <w:sz w:val="24"/>
          <w:szCs w:val="24"/>
        </w:rPr>
        <w:t xml:space="preserve">The British sinologist Angus Charles Graham has a book entitled </w:t>
      </w:r>
      <w:r w:rsidRPr="00C53C42">
        <w:rPr>
          <w:rFonts w:ascii="Times New Roman" w:eastAsia="Songti TC" w:hAnsi="Times New Roman"/>
          <w:i/>
          <w:sz w:val="24"/>
          <w:szCs w:val="24"/>
        </w:rPr>
        <w:t>Yin-Yang and the Nature of Correlative Thinking</w:t>
      </w:r>
      <w:r w:rsidRPr="00C53C42">
        <w:rPr>
          <w:rFonts w:ascii="Times New Roman" w:eastAsia="Songti TC" w:hAnsi="Times New Roman"/>
          <w:sz w:val="24"/>
          <w:szCs w:val="24"/>
        </w:rPr>
        <w:t xml:space="preserve">, in which he also discusses the "logic of correlation" in terms of </w:t>
      </w:r>
      <w:r w:rsidRPr="00C53C42">
        <w:rPr>
          <w:rFonts w:ascii="Times New Roman" w:eastAsia="Songti TC" w:hAnsi="Times New Roman"/>
          <w:i/>
          <w:sz w:val="24"/>
          <w:szCs w:val="24"/>
        </w:rPr>
        <w:t>Yin-Yang</w:t>
      </w:r>
      <w:r w:rsidRPr="00C53C42">
        <w:rPr>
          <w:rFonts w:ascii="Times New Roman" w:eastAsia="Songti TC" w:hAnsi="Times New Roman"/>
          <w:sz w:val="24"/>
          <w:szCs w:val="24"/>
        </w:rPr>
        <w:t>.</w:t>
      </w:r>
      <w:r w:rsidRPr="00C53C42">
        <w:rPr>
          <w:rStyle w:val="Funotenzeichen"/>
          <w:rFonts w:ascii="Times New Roman" w:eastAsia="Songti TC" w:hAnsi="Times New Roman"/>
          <w:sz w:val="24"/>
          <w:szCs w:val="24"/>
        </w:rPr>
        <w:footnoteReference w:id="30"/>
      </w:r>
      <w:r w:rsidRPr="00C53C42">
        <w:rPr>
          <w:rFonts w:ascii="Times New Roman" w:eastAsia="Songti TC" w:hAnsi="Times New Roman"/>
          <w:sz w:val="24"/>
          <w:szCs w:val="24"/>
        </w:rPr>
        <w:t xml:space="preserve"> It is interesting that the "correlation" is not exclusively a Chinese logic derived from </w:t>
      </w:r>
      <w:r w:rsidRPr="00C53C42">
        <w:rPr>
          <w:rFonts w:ascii="Times New Roman" w:eastAsia="Songti TC" w:hAnsi="Times New Roman"/>
          <w:i/>
          <w:sz w:val="24"/>
          <w:szCs w:val="24"/>
        </w:rPr>
        <w:t>Yin-Yang</w:t>
      </w:r>
      <w:r w:rsidRPr="00C53C42">
        <w:rPr>
          <w:rFonts w:ascii="Times New Roman" w:eastAsia="Songti TC" w:hAnsi="Times New Roman"/>
          <w:sz w:val="24"/>
          <w:szCs w:val="24"/>
        </w:rPr>
        <w:t xml:space="preserve"> but can be traced as a paralleled clue in Western philosophy, which is probably the traditional thesis of “two natures in one person” or “hypostatic union.”</w:t>
      </w:r>
    </w:p>
    <w:p w14:paraId="0E26BDD9" w14:textId="77777777" w:rsidR="004156A6" w:rsidRPr="00C53C42" w:rsidRDefault="004156A6" w:rsidP="00C53C42">
      <w:pPr>
        <w:spacing w:before="120" w:after="120"/>
        <w:rPr>
          <w:rFonts w:ascii="Times New Roman" w:eastAsia="Songti TC" w:hAnsi="Times New Roman"/>
          <w:sz w:val="24"/>
          <w:szCs w:val="24"/>
        </w:rPr>
      </w:pPr>
      <w:r w:rsidRPr="00C53C42">
        <w:rPr>
          <w:rFonts w:ascii="Times New Roman" w:eastAsia="Songti TC" w:hAnsi="Times New Roman"/>
          <w:sz w:val="24"/>
          <w:szCs w:val="24"/>
        </w:rPr>
        <w:t>“Two natures in one person” or “hypostatic union” still attracts many efforts even today within the Christian faith circles. However, I think it has become more and more of a philosophical understanding since Martin Buber. For example, Kathryn Tanner, a theologian at the Yale University, states that “humans come to be in the image of God” actually implies “coming to be oneself in relation to what one is not," i.e., "all creatures are formed in relation to what they are not.”</w:t>
      </w:r>
      <w:r w:rsidRPr="00C53C42">
        <w:rPr>
          <w:rStyle w:val="Funotenzeichen"/>
          <w:rFonts w:ascii="Times New Roman" w:eastAsia="Songti TC" w:hAnsi="Times New Roman"/>
          <w:sz w:val="24"/>
          <w:szCs w:val="24"/>
        </w:rPr>
        <w:footnoteReference w:id="31"/>
      </w:r>
      <w:r w:rsidRPr="00C53C42">
        <w:rPr>
          <w:rFonts w:ascii="Times New Roman" w:eastAsia="Songti TC" w:hAnsi="Times New Roman"/>
          <w:sz w:val="24"/>
          <w:szCs w:val="24"/>
        </w:rPr>
        <w:t xml:space="preserve">  If Buber's saying is really "even more pregnant in the original German," I am afraid the "potentiality" contained in “</w:t>
      </w:r>
      <w:proofErr w:type="spellStart"/>
      <w:r w:rsidRPr="00C53C42">
        <w:rPr>
          <w:rFonts w:ascii="Times New Roman" w:eastAsia="Songti TC" w:hAnsi="Times New Roman"/>
          <w:i/>
          <w:iCs/>
          <w:sz w:val="24"/>
          <w:szCs w:val="24"/>
        </w:rPr>
        <w:t>Beziehung</w:t>
      </w:r>
      <w:proofErr w:type="spellEnd"/>
      <w:r w:rsidRPr="00C53C42">
        <w:rPr>
          <w:rFonts w:ascii="Times New Roman" w:eastAsia="Songti TC" w:hAnsi="Times New Roman"/>
          <w:sz w:val="24"/>
          <w:szCs w:val="24"/>
        </w:rPr>
        <w:t>,” “ambivalence," and “correlative thinking” will be much more decadent with the Chinese reference to "east and west are convertible but necessary terms in relation to each other."</w:t>
      </w:r>
    </w:p>
    <w:p w14:paraId="6892F356" w14:textId="77777777" w:rsidR="004156A6" w:rsidRPr="00C53C42" w:rsidRDefault="004156A6" w:rsidP="00C53C42">
      <w:pPr>
        <w:spacing w:before="120" w:after="120"/>
        <w:rPr>
          <w:rFonts w:ascii="Times New Roman" w:eastAsia="Songti TC" w:hAnsi="Times New Roman"/>
          <w:sz w:val="24"/>
          <w:szCs w:val="24"/>
        </w:rPr>
      </w:pPr>
      <w:r w:rsidRPr="00C53C42">
        <w:rPr>
          <w:rFonts w:ascii="Times New Roman" w:eastAsia="Songti TC" w:hAnsi="Times New Roman"/>
          <w:sz w:val="24"/>
          <w:szCs w:val="24"/>
        </w:rPr>
        <w:t xml:space="preserve">Moving on in the framework of theological hermeneutics, Tanner derives “apophatic accounts” that make the sacred "a mere non-semantic place-holder" </w:t>
      </w:r>
      <w:proofErr w:type="gramStart"/>
      <w:r w:rsidRPr="00C53C42">
        <w:rPr>
          <w:rFonts w:ascii="Times New Roman" w:eastAsia="Songti TC" w:hAnsi="Times New Roman"/>
          <w:sz w:val="24"/>
          <w:szCs w:val="24"/>
        </w:rPr>
        <w:t>in order to</w:t>
      </w:r>
      <w:proofErr w:type="gramEnd"/>
      <w:r w:rsidRPr="00C53C42">
        <w:rPr>
          <w:rFonts w:ascii="Times New Roman" w:eastAsia="Songti TC" w:hAnsi="Times New Roman"/>
          <w:sz w:val="24"/>
          <w:szCs w:val="24"/>
        </w:rPr>
        <w:t xml:space="preserve"> keep a "purely regulative, rather than constitutive or immanent” boundary of the understanding. Compared with "the merely relational mediation" or "the only linguistic practice to escape from the prohibition" mentioned above, we may recognize that the theologians </w:t>
      </w:r>
      <w:r w:rsidRPr="00C53C42">
        <w:rPr>
          <w:rFonts w:ascii="Times New Roman" w:eastAsia="Songti TC" w:hAnsi="Times New Roman"/>
          <w:sz w:val="24"/>
          <w:szCs w:val="24"/>
        </w:rPr>
        <w:lastRenderedPageBreak/>
        <w:t>can be as subversive as the philosophers.</w:t>
      </w:r>
    </w:p>
    <w:p w14:paraId="2EA943FD" w14:textId="2F59C366" w:rsidR="004156A6" w:rsidRPr="00C53C42" w:rsidRDefault="004156A6" w:rsidP="00C53C42">
      <w:pPr>
        <w:widowControl/>
        <w:spacing w:before="120" w:after="120"/>
        <w:rPr>
          <w:rFonts w:ascii="Times New Roman" w:eastAsia="Songti TC" w:hAnsi="Times New Roman"/>
          <w:color w:val="000000"/>
          <w:kern w:val="0"/>
          <w:sz w:val="24"/>
          <w:szCs w:val="24"/>
        </w:rPr>
      </w:pPr>
      <w:r w:rsidRPr="00C53C42">
        <w:rPr>
          <w:rFonts w:ascii="Times New Roman" w:eastAsia="Songti TC" w:hAnsi="Times New Roman"/>
          <w:color w:val="000000"/>
          <w:kern w:val="0"/>
          <w:sz w:val="24"/>
          <w:szCs w:val="24"/>
        </w:rPr>
        <w:t xml:space="preserve">In sum, it should be a meaningful practice, if not the only one, to reposition the term “relation” or </w:t>
      </w:r>
      <w:r w:rsidRPr="00C53C42">
        <w:rPr>
          <w:rFonts w:ascii="Times New Roman" w:eastAsia="Songti TC" w:hAnsi="Times New Roman"/>
          <w:i/>
          <w:color w:val="000000"/>
          <w:kern w:val="0"/>
          <w:sz w:val="24"/>
          <w:szCs w:val="24"/>
        </w:rPr>
        <w:t>guanxi</w:t>
      </w:r>
      <w:r w:rsidRPr="00C53C42">
        <w:rPr>
          <w:rFonts w:ascii="Times New Roman" w:eastAsia="Songti TC" w:hAnsi="Times New Roman"/>
          <w:iCs/>
          <w:color w:val="000000"/>
          <w:kern w:val="0"/>
          <w:sz w:val="24"/>
          <w:szCs w:val="24"/>
        </w:rPr>
        <w:t>关系</w:t>
      </w:r>
      <w:r w:rsidRPr="00C53C42">
        <w:rPr>
          <w:rFonts w:ascii="Times New Roman" w:eastAsia="Songti TC" w:hAnsi="Times New Roman"/>
          <w:color w:val="000000"/>
          <w:kern w:val="0"/>
          <w:sz w:val="24"/>
          <w:szCs w:val="24"/>
        </w:rPr>
        <w:t xml:space="preserve"> in Chinese or European languages, to re-activate the potential dialogue between Chinese thought and the continental philosophy, to rediscover the antithetical structure in comparison with “la correlation,” and to extend our dialogue in the risk of possible "misunderstanding"</w:t>
      </w:r>
      <w:r w:rsidR="00C53C42">
        <w:rPr>
          <w:rFonts w:ascii="Times New Roman" w:eastAsia="Songti TC" w:hAnsi="Times New Roman"/>
          <w:color w:val="000000"/>
          <w:kern w:val="0"/>
          <w:sz w:val="24"/>
          <w:szCs w:val="24"/>
        </w:rPr>
        <w:t>.</w:t>
      </w:r>
    </w:p>
    <w:sectPr w:rsidR="004156A6" w:rsidRPr="00C53C42" w:rsidSect="00F41356">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C649C" w14:textId="77777777" w:rsidR="00594F8B" w:rsidRDefault="00594F8B" w:rsidP="004156A6">
      <w:r>
        <w:separator/>
      </w:r>
    </w:p>
  </w:endnote>
  <w:endnote w:type="continuationSeparator" w:id="0">
    <w:p w14:paraId="354D86AD" w14:textId="77777777" w:rsidR="00594F8B" w:rsidRDefault="00594F8B" w:rsidP="0041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3124" w14:textId="77777777" w:rsidR="00594F8B" w:rsidRDefault="00594F8B" w:rsidP="004156A6">
      <w:r>
        <w:separator/>
      </w:r>
    </w:p>
  </w:footnote>
  <w:footnote w:type="continuationSeparator" w:id="0">
    <w:p w14:paraId="280BFBB0" w14:textId="77777777" w:rsidR="00594F8B" w:rsidRDefault="00594F8B" w:rsidP="004156A6">
      <w:r>
        <w:continuationSeparator/>
      </w:r>
    </w:p>
  </w:footnote>
  <w:footnote w:id="1">
    <w:p w14:paraId="1811F5A7"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“guan </w:t>
      </w:r>
      <w:r w:rsidRPr="00C53C42">
        <w:rPr>
          <w:rFonts w:eastAsia="Songti TC"/>
        </w:rPr>
        <w:t>关</w:t>
      </w:r>
      <w:r w:rsidRPr="00C53C42">
        <w:rPr>
          <w:rFonts w:eastAsia="Songti TC"/>
        </w:rPr>
        <w:t xml:space="preserve">,” c.v., in </w:t>
      </w:r>
      <w:r w:rsidRPr="00C53C42">
        <w:rPr>
          <w:rFonts w:eastAsia="Songti TC"/>
          <w:i/>
          <w:iCs/>
        </w:rPr>
        <w:t>Xinhua Dictionary</w:t>
      </w:r>
      <w:r w:rsidRPr="00C53C42">
        <w:rPr>
          <w:rFonts w:eastAsia="Songti TC"/>
        </w:rPr>
        <w:t xml:space="preserve"> (</w:t>
      </w:r>
      <w:proofErr w:type="gramStart"/>
      <w:r w:rsidRPr="00C53C42">
        <w:rPr>
          <w:rFonts w:eastAsia="Songti TC"/>
        </w:rPr>
        <w:t>Chinese-English</w:t>
      </w:r>
      <w:proofErr w:type="gramEnd"/>
      <w:r w:rsidRPr="00C53C42">
        <w:rPr>
          <w:rFonts w:eastAsia="Songti TC"/>
        </w:rPr>
        <w:t xml:space="preserve">) (Beijing: The Commercial Press, 2021), 225. </w:t>
      </w:r>
    </w:p>
  </w:footnote>
  <w:footnote w:id="2">
    <w:p w14:paraId="0409D705"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w:t>
      </w:r>
      <w:hyperlink r:id="rId1" w:history="1">
        <w:r w:rsidRPr="00C53C42">
          <w:rPr>
            <w:rStyle w:val="Hyperlink"/>
            <w:rFonts w:eastAsia="Songti TC"/>
            <w:color w:val="auto"/>
          </w:rPr>
          <w:t>https://tv.cctv.com/2017/03/28/VIDEVt0TQvlQN5nsbbQlgtnU170328.shtml?spm</w:t>
        </w:r>
      </w:hyperlink>
      <w:r w:rsidRPr="00C53C42">
        <w:rPr>
          <w:rFonts w:eastAsia="Songti TC"/>
        </w:rPr>
        <w:t>.</w:t>
      </w:r>
    </w:p>
  </w:footnote>
  <w:footnote w:id="3">
    <w:p w14:paraId="088A9C02"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See LI </w:t>
      </w:r>
      <w:proofErr w:type="spellStart"/>
      <w:r w:rsidRPr="00C53C42">
        <w:rPr>
          <w:rFonts w:eastAsia="Songti TC"/>
        </w:rPr>
        <w:t>Xueqin</w:t>
      </w:r>
      <w:proofErr w:type="spellEnd"/>
      <w:r w:rsidRPr="00C53C42">
        <w:rPr>
          <w:rFonts w:eastAsia="Songti TC"/>
        </w:rPr>
        <w:t xml:space="preserve">, et al. ed., </w:t>
      </w:r>
      <w:r w:rsidRPr="00C53C42">
        <w:rPr>
          <w:rFonts w:eastAsia="Songti TC"/>
          <w:i/>
          <w:iCs/>
        </w:rPr>
        <w:t>Zi Yuan</w:t>
      </w:r>
      <w:r w:rsidRPr="00C53C42">
        <w:rPr>
          <w:rFonts w:eastAsia="Songti TC"/>
        </w:rPr>
        <w:t xml:space="preserve"> (Chinese Etymology), Vol. II (Tianjin: Tianjin Ancient Books Publishing House, 2012), 1058. </w:t>
      </w:r>
    </w:p>
  </w:footnote>
  <w:footnote w:id="4">
    <w:p w14:paraId="488FAD40"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Ibid., 1143.</w:t>
      </w:r>
    </w:p>
  </w:footnote>
  <w:footnote w:id="5">
    <w:p w14:paraId="4AF656C0"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LUO Dajing, </w:t>
      </w:r>
      <w:r w:rsidRPr="00C53C42">
        <w:rPr>
          <w:rFonts w:eastAsia="Songti TC"/>
          <w:i/>
          <w:iCs/>
        </w:rPr>
        <w:t xml:space="preserve">He liny u </w:t>
      </w:r>
      <w:proofErr w:type="spellStart"/>
      <w:r w:rsidRPr="00C53C42">
        <w:rPr>
          <w:rFonts w:eastAsia="Songti TC"/>
          <w:i/>
          <w:iCs/>
        </w:rPr>
        <w:t>lu</w:t>
      </w:r>
      <w:proofErr w:type="spellEnd"/>
      <w:r w:rsidRPr="00C53C42">
        <w:rPr>
          <w:rFonts w:eastAsia="Songti TC"/>
        </w:rPr>
        <w:t xml:space="preserve">. See </w:t>
      </w:r>
      <w:hyperlink r:id="rId2" w:history="1">
        <w:r w:rsidRPr="00C53C42">
          <w:rPr>
            <w:rStyle w:val="Hyperlink"/>
            <w:rFonts w:eastAsia="Songti TC"/>
            <w:color w:val="auto"/>
          </w:rPr>
          <w:t>https://ctext.org/wiki.pl?if=gb&amp;res=548729&amp;remap=gb</w:t>
        </w:r>
      </w:hyperlink>
      <w:r w:rsidRPr="00C53C42">
        <w:rPr>
          <w:rFonts w:eastAsia="Songti TC"/>
        </w:rPr>
        <w:t xml:space="preserve">. </w:t>
      </w:r>
    </w:p>
  </w:footnote>
  <w:footnote w:id="6">
    <w:p w14:paraId="676AF02B"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w:t>
      </w:r>
      <w:r w:rsidRPr="00C53C42">
        <w:rPr>
          <w:rFonts w:eastAsia="Songti TC"/>
          <w:szCs w:val="21"/>
        </w:rPr>
        <w:t xml:space="preserve">Jonathan R. Herman, </w:t>
      </w:r>
      <w:r w:rsidRPr="00C53C42">
        <w:rPr>
          <w:rFonts w:eastAsia="Songti TC"/>
          <w:i/>
          <w:szCs w:val="21"/>
        </w:rPr>
        <w:t>I and Tao: Martin Buber’s Encounter with Chuang Tzu</w:t>
      </w:r>
      <w:r w:rsidRPr="00C53C42">
        <w:rPr>
          <w:rFonts w:eastAsia="Songti TC"/>
          <w:szCs w:val="21"/>
        </w:rPr>
        <w:t xml:space="preserve"> (Albany: State University of New York Press, 1993), 227, footnote12.</w:t>
      </w:r>
    </w:p>
  </w:footnote>
  <w:footnote w:id="7">
    <w:p w14:paraId="0C8C9B75"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John P. Newport, </w:t>
      </w:r>
      <w:r w:rsidRPr="00C53C42">
        <w:rPr>
          <w:rFonts w:eastAsia="Songti TC"/>
          <w:i/>
        </w:rPr>
        <w:t>Paul Tillich</w:t>
      </w:r>
      <w:r w:rsidRPr="00C53C42">
        <w:rPr>
          <w:rFonts w:eastAsia="Songti TC"/>
        </w:rPr>
        <w:t xml:space="preserve"> (Waco: Word Books, 1984), 47.</w:t>
      </w:r>
    </w:p>
  </w:footnote>
  <w:footnote w:id="8">
    <w:p w14:paraId="09349852"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T. S. Eliot, </w:t>
      </w:r>
    </w:p>
  </w:footnote>
  <w:footnote w:id="9">
    <w:p w14:paraId="41C439D6"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Martin Heidegger, </w:t>
      </w:r>
      <w:r w:rsidRPr="00C53C42">
        <w:rPr>
          <w:rFonts w:eastAsia="Songti TC"/>
          <w:i/>
        </w:rPr>
        <w:t>Identity and Difference</w:t>
      </w:r>
      <w:r w:rsidRPr="00C53C42">
        <w:rPr>
          <w:rFonts w:eastAsia="Songti TC"/>
        </w:rPr>
        <w:t>, translated and with an introduction by Joan Stambaugh (New York: Harper &amp; Row, 1969), 7-8.</w:t>
      </w:r>
    </w:p>
  </w:footnote>
  <w:footnote w:id="10">
    <w:p w14:paraId="1FEB9B7D"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w:t>
      </w:r>
      <w:r w:rsidRPr="00C53C42">
        <w:rPr>
          <w:rFonts w:eastAsia="Songti TC"/>
          <w:szCs w:val="21"/>
        </w:rPr>
        <w:t>Walter Brogan and James Risser, "Introduction," in</w:t>
      </w:r>
      <w:r w:rsidRPr="00C53C42">
        <w:rPr>
          <w:rFonts w:eastAsia="Songti TC"/>
          <w:i/>
          <w:szCs w:val="21"/>
        </w:rPr>
        <w:t xml:space="preserve"> American Continental Philosophy: A Reader</w:t>
      </w:r>
      <w:r w:rsidRPr="00C53C42">
        <w:rPr>
          <w:rFonts w:eastAsia="Songti TC"/>
          <w:szCs w:val="21"/>
        </w:rPr>
        <w:t>, eds. Walter Brogan &amp; James Risser (Bloomington and Indianapolis: Indiana University Press, 2000), 4.</w:t>
      </w:r>
    </w:p>
  </w:footnote>
  <w:footnote w:id="11">
    <w:p w14:paraId="2CB8CE99"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Peter Hallward, </w:t>
      </w:r>
      <w:proofErr w:type="spellStart"/>
      <w:r w:rsidRPr="00C53C42">
        <w:rPr>
          <w:rFonts w:eastAsia="Songti TC"/>
          <w:i/>
        </w:rPr>
        <w:t>Badiou</w:t>
      </w:r>
      <w:proofErr w:type="spellEnd"/>
      <w:r w:rsidRPr="00C53C42">
        <w:rPr>
          <w:rFonts w:eastAsia="Songti TC"/>
          <w:i/>
        </w:rPr>
        <w:t>: A Subject to Truth</w:t>
      </w:r>
      <w:r w:rsidRPr="00C53C42">
        <w:rPr>
          <w:rFonts w:eastAsia="Songti TC"/>
        </w:rPr>
        <w:t xml:space="preserve"> (Minneapolis: University of Minnesota Press, 2003), 250.</w:t>
      </w:r>
    </w:p>
  </w:footnote>
  <w:footnote w:id="12">
    <w:p w14:paraId="48DA824C"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w:t>
      </w:r>
      <w:r w:rsidRPr="00C53C42">
        <w:rPr>
          <w:rFonts w:eastAsia="Songti TC"/>
          <w:szCs w:val="21"/>
        </w:rPr>
        <w:t xml:space="preserve">Julia Kristeva, </w:t>
      </w:r>
      <w:r w:rsidRPr="00C53C42">
        <w:rPr>
          <w:rFonts w:eastAsia="Songti TC"/>
          <w:i/>
          <w:iCs/>
          <w:szCs w:val="21"/>
        </w:rPr>
        <w:t>Desire in Language: A Semiotic Approach to Literature and Art</w:t>
      </w:r>
      <w:r w:rsidRPr="00C53C42">
        <w:rPr>
          <w:rFonts w:eastAsia="Songti TC"/>
          <w:szCs w:val="21"/>
        </w:rPr>
        <w:t xml:space="preserve">, ed. Leon S. </w:t>
      </w:r>
      <w:proofErr w:type="spellStart"/>
      <w:r w:rsidRPr="00C53C42">
        <w:rPr>
          <w:rFonts w:eastAsia="Songti TC"/>
          <w:szCs w:val="21"/>
        </w:rPr>
        <w:t>Roudiez</w:t>
      </w:r>
      <w:proofErr w:type="spellEnd"/>
      <w:r w:rsidRPr="00C53C42">
        <w:rPr>
          <w:rFonts w:eastAsia="Songti TC"/>
          <w:szCs w:val="21"/>
        </w:rPr>
        <w:t xml:space="preserve">, trans. Thomas Gora, Alice </w:t>
      </w:r>
      <w:proofErr w:type="gramStart"/>
      <w:r w:rsidRPr="00C53C42">
        <w:rPr>
          <w:rFonts w:eastAsia="Songti TC"/>
          <w:szCs w:val="21"/>
        </w:rPr>
        <w:t>Jardine</w:t>
      </w:r>
      <w:proofErr w:type="gramEnd"/>
      <w:r w:rsidRPr="00C53C42">
        <w:rPr>
          <w:rFonts w:eastAsia="Songti TC"/>
          <w:szCs w:val="21"/>
        </w:rPr>
        <w:t xml:space="preserve"> and Leon S. </w:t>
      </w:r>
      <w:proofErr w:type="spellStart"/>
      <w:r w:rsidRPr="00C53C42">
        <w:rPr>
          <w:rFonts w:eastAsia="Songti TC"/>
          <w:szCs w:val="21"/>
        </w:rPr>
        <w:t>Roudiez</w:t>
      </w:r>
      <w:proofErr w:type="spellEnd"/>
      <w:r w:rsidRPr="00C53C42">
        <w:rPr>
          <w:rFonts w:eastAsia="Songti TC"/>
          <w:szCs w:val="21"/>
        </w:rPr>
        <w:t xml:space="preserve"> (New York: Columbia University Press, 1980), 70.</w:t>
      </w:r>
    </w:p>
  </w:footnote>
  <w:footnote w:id="13">
    <w:p w14:paraId="01C578BA"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Martin Buber, </w:t>
      </w:r>
      <w:r w:rsidRPr="00C53C42">
        <w:rPr>
          <w:rFonts w:eastAsia="Songti TC"/>
          <w:i/>
          <w:iCs/>
        </w:rPr>
        <w:t>I and Thou</w:t>
      </w:r>
      <w:r w:rsidRPr="00C53C42">
        <w:rPr>
          <w:rFonts w:eastAsia="Songti TC"/>
        </w:rPr>
        <w:t>, 2</w:t>
      </w:r>
      <w:r w:rsidRPr="00C53C42">
        <w:rPr>
          <w:rFonts w:eastAsia="Songti TC"/>
          <w:vertAlign w:val="superscript"/>
        </w:rPr>
        <w:t>nd</w:t>
      </w:r>
      <w:r w:rsidRPr="00C53C42">
        <w:rPr>
          <w:rFonts w:eastAsia="Songti TC"/>
        </w:rPr>
        <w:t xml:space="preserve"> edition, trans. Ronald Gregor Smith (New York: Charles Scribner’s Sons, 1958), 11. </w:t>
      </w:r>
    </w:p>
  </w:footnote>
  <w:footnote w:id="14">
    <w:p w14:paraId="0FB52641"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James Brown, </w:t>
      </w:r>
      <w:r w:rsidRPr="00C53C42">
        <w:rPr>
          <w:rFonts w:eastAsia="Songti TC"/>
          <w:i/>
          <w:iCs/>
        </w:rPr>
        <w:t xml:space="preserve">Kierkegaard, Heidegger, </w:t>
      </w:r>
      <w:proofErr w:type="gramStart"/>
      <w:r w:rsidRPr="00C53C42">
        <w:rPr>
          <w:rFonts w:eastAsia="Songti TC"/>
          <w:i/>
          <w:iCs/>
        </w:rPr>
        <w:t>Buber</w:t>
      </w:r>
      <w:proofErr w:type="gramEnd"/>
      <w:r w:rsidRPr="00C53C42">
        <w:rPr>
          <w:rFonts w:eastAsia="Songti TC"/>
          <w:i/>
          <w:iCs/>
        </w:rPr>
        <w:t xml:space="preserve"> and Barth: Subject and Object in Modern theology</w:t>
      </w:r>
      <w:r w:rsidRPr="00C53C42">
        <w:rPr>
          <w:rFonts w:eastAsia="Songti TC"/>
        </w:rPr>
        <w:t xml:space="preserve"> (New York: Collier Books, 1962), 104, 107</w:t>
      </w:r>
      <w:r w:rsidRPr="00C53C42">
        <w:rPr>
          <w:rFonts w:eastAsia="Songti TC"/>
          <w:i/>
          <w:iCs/>
        </w:rPr>
        <w:t>.</w:t>
      </w:r>
    </w:p>
  </w:footnote>
  <w:footnote w:id="15">
    <w:p w14:paraId="33894550" w14:textId="77777777" w:rsidR="004156A6" w:rsidRPr="00C53C42" w:rsidRDefault="004156A6" w:rsidP="00C53C42">
      <w:pPr>
        <w:pStyle w:val="Funotentext"/>
        <w:jc w:val="both"/>
        <w:rPr>
          <w:rFonts w:eastAsia="Songti TC"/>
          <w:lang w:val="de-DE"/>
        </w:rPr>
      </w:pPr>
      <w:r w:rsidRPr="00C53C42">
        <w:rPr>
          <w:rStyle w:val="Funotenzeichen"/>
          <w:rFonts w:eastAsia="Songti TC"/>
        </w:rPr>
        <w:footnoteRef/>
      </w:r>
      <w:r w:rsidRPr="00C53C42">
        <w:rPr>
          <w:rFonts w:eastAsia="Songti TC"/>
          <w:lang w:val="de-DE"/>
        </w:rPr>
        <w:t xml:space="preserve"> Martin Buber, trans., </w:t>
      </w:r>
      <w:r w:rsidRPr="00C53C42">
        <w:rPr>
          <w:rFonts w:eastAsia="Songti TC"/>
          <w:i/>
          <w:szCs w:val="21"/>
          <w:lang w:val="de-DE"/>
        </w:rPr>
        <w:t xml:space="preserve">Reden und Gleichnisse des </w:t>
      </w:r>
      <w:proofErr w:type="spellStart"/>
      <w:r w:rsidRPr="00C53C42">
        <w:rPr>
          <w:rFonts w:eastAsia="Songti TC"/>
          <w:i/>
          <w:szCs w:val="21"/>
          <w:lang w:val="de-DE"/>
        </w:rPr>
        <w:t>Tschuang</w:t>
      </w:r>
      <w:proofErr w:type="spellEnd"/>
      <w:r w:rsidRPr="00C53C42">
        <w:rPr>
          <w:rFonts w:eastAsia="Songti TC"/>
          <w:i/>
          <w:szCs w:val="21"/>
          <w:lang w:val="de-DE"/>
        </w:rPr>
        <w:t>-Tse</w:t>
      </w:r>
      <w:r w:rsidRPr="00C53C42">
        <w:rPr>
          <w:rFonts w:eastAsia="Songti TC"/>
          <w:lang w:val="de-DE"/>
        </w:rPr>
        <w:t xml:space="preserve"> (</w:t>
      </w:r>
      <w:proofErr w:type="gramStart"/>
      <w:r w:rsidRPr="00C53C42">
        <w:rPr>
          <w:rFonts w:eastAsia="Songti TC"/>
          <w:lang w:val="de-DE"/>
        </w:rPr>
        <w:t>Leipzig :</w:t>
      </w:r>
      <w:proofErr w:type="gramEnd"/>
      <w:r w:rsidRPr="00C53C42">
        <w:rPr>
          <w:rFonts w:eastAsia="Songti TC"/>
          <w:lang w:val="de-DE"/>
        </w:rPr>
        <w:t xml:space="preserve"> Insel-verlag, 1910).</w:t>
      </w:r>
    </w:p>
  </w:footnote>
  <w:footnote w:id="16">
    <w:p w14:paraId="3434D34C"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Ibid., 4.</w:t>
      </w:r>
    </w:p>
  </w:footnote>
  <w:footnote w:id="17">
    <w:p w14:paraId="699ADE27"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w:t>
      </w:r>
      <w:r w:rsidRPr="00C53C42">
        <w:rPr>
          <w:rFonts w:eastAsia="Songti TC"/>
        </w:rPr>
        <w:t>《庄子</w:t>
      </w:r>
      <w:r w:rsidRPr="00C53C42">
        <w:rPr>
          <w:rFonts w:eastAsia="Songti TC"/>
        </w:rPr>
        <w:t>·</w:t>
      </w:r>
      <w:r w:rsidRPr="00C53C42">
        <w:rPr>
          <w:rFonts w:eastAsia="Songti TC"/>
        </w:rPr>
        <w:t>秋水》：</w:t>
      </w:r>
      <w:r w:rsidRPr="00C53C42">
        <w:rPr>
          <w:rFonts w:eastAsia="Songti TC"/>
          <w:szCs w:val="21"/>
        </w:rPr>
        <w:t>知东西相反而不可以相无，则功分定矣</w:t>
      </w:r>
      <w:r w:rsidRPr="00C53C42">
        <w:rPr>
          <w:rFonts w:eastAsia="Songti TC"/>
          <w:szCs w:val="21"/>
        </w:rPr>
        <w:t xml:space="preserve">. (If we know that east and west are convertible and yet necessary terms in relation to each other, then such functions may be determined.) </w:t>
      </w:r>
      <w:r w:rsidRPr="00C53C42">
        <w:rPr>
          <w:rFonts w:eastAsia="Songti TC"/>
        </w:rPr>
        <w:t xml:space="preserve">See </w:t>
      </w:r>
      <w:r w:rsidRPr="00C53C42">
        <w:rPr>
          <w:rFonts w:eastAsia="Songti TC"/>
          <w:szCs w:val="21"/>
        </w:rPr>
        <w:t xml:space="preserve">Jonathan R. Herman, </w:t>
      </w:r>
      <w:r w:rsidRPr="00C53C42">
        <w:rPr>
          <w:rFonts w:eastAsia="Songti TC"/>
          <w:i/>
          <w:szCs w:val="21"/>
        </w:rPr>
        <w:t>I and Tao: Martin Buber’s Encounter with Chuang Tzu</w:t>
      </w:r>
      <w:r w:rsidRPr="00C53C42">
        <w:rPr>
          <w:rFonts w:eastAsia="Songti TC"/>
          <w:szCs w:val="21"/>
        </w:rPr>
        <w:t xml:space="preserve">, 227, footnote12. </w:t>
      </w:r>
    </w:p>
  </w:footnote>
  <w:footnote w:id="18">
    <w:p w14:paraId="75496C4F"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Martin Heidegger,</w:t>
      </w:r>
      <w:r w:rsidRPr="00C53C42">
        <w:rPr>
          <w:rFonts w:eastAsia="Songti TC"/>
          <w:i/>
        </w:rPr>
        <w:t xml:space="preserve"> Identity and Difference</w:t>
      </w:r>
      <w:r w:rsidRPr="00C53C42">
        <w:rPr>
          <w:rFonts w:eastAsia="Songti TC"/>
        </w:rPr>
        <w:t>, 7-8.</w:t>
      </w:r>
    </w:p>
  </w:footnote>
  <w:footnote w:id="19">
    <w:p w14:paraId="1CCD135B"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Ibid., 15.</w:t>
      </w:r>
    </w:p>
  </w:footnote>
  <w:footnote w:id="20">
    <w:p w14:paraId="026C38E5"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w:t>
      </w:r>
      <w:r w:rsidRPr="00C53C42">
        <w:rPr>
          <w:rFonts w:eastAsia="Songti TC"/>
          <w:szCs w:val="21"/>
        </w:rPr>
        <w:t xml:space="preserve">Julia Kristeva, </w:t>
      </w:r>
      <w:r w:rsidRPr="00C53C42">
        <w:rPr>
          <w:rFonts w:eastAsia="Songti TC"/>
          <w:i/>
          <w:iCs/>
          <w:szCs w:val="21"/>
        </w:rPr>
        <w:t>Desire in Language: A Semiotic Approach to Literature and Art</w:t>
      </w:r>
      <w:r w:rsidRPr="00C53C42">
        <w:rPr>
          <w:rFonts w:eastAsia="Songti TC"/>
          <w:szCs w:val="21"/>
        </w:rPr>
        <w:t xml:space="preserve">, ed. Leon S. </w:t>
      </w:r>
      <w:proofErr w:type="spellStart"/>
      <w:r w:rsidRPr="00C53C42">
        <w:rPr>
          <w:rFonts w:eastAsia="Songti TC"/>
          <w:szCs w:val="21"/>
        </w:rPr>
        <w:t>Roudiez</w:t>
      </w:r>
      <w:proofErr w:type="spellEnd"/>
      <w:r w:rsidRPr="00C53C42">
        <w:rPr>
          <w:rFonts w:eastAsia="Songti TC"/>
          <w:szCs w:val="21"/>
        </w:rPr>
        <w:t xml:space="preserve">, trans. Thomas Gora, Alice </w:t>
      </w:r>
      <w:proofErr w:type="gramStart"/>
      <w:r w:rsidRPr="00C53C42">
        <w:rPr>
          <w:rFonts w:eastAsia="Songti TC"/>
          <w:szCs w:val="21"/>
        </w:rPr>
        <w:t>Jardine</w:t>
      </w:r>
      <w:proofErr w:type="gramEnd"/>
      <w:r w:rsidRPr="00C53C42">
        <w:rPr>
          <w:rFonts w:eastAsia="Songti TC"/>
          <w:szCs w:val="21"/>
        </w:rPr>
        <w:t xml:space="preserve"> and Leon S. </w:t>
      </w:r>
      <w:proofErr w:type="spellStart"/>
      <w:r w:rsidRPr="00C53C42">
        <w:rPr>
          <w:rFonts w:eastAsia="Songti TC"/>
          <w:szCs w:val="21"/>
        </w:rPr>
        <w:t>Roudiez</w:t>
      </w:r>
      <w:proofErr w:type="spellEnd"/>
      <w:r w:rsidRPr="00C53C42">
        <w:rPr>
          <w:rFonts w:eastAsia="Songti TC"/>
          <w:szCs w:val="21"/>
        </w:rPr>
        <w:t xml:space="preserve"> (New York: Columbia University Press, 1980), 64-91.</w:t>
      </w:r>
    </w:p>
  </w:footnote>
  <w:footnote w:id="21">
    <w:p w14:paraId="0CCF4A77"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w:t>
      </w:r>
      <w:r w:rsidRPr="00C53C42">
        <w:rPr>
          <w:rFonts w:eastAsia="Songti TC"/>
          <w:szCs w:val="21"/>
        </w:rPr>
        <w:t>Ibid.</w:t>
      </w:r>
      <w:r w:rsidRPr="00C53C42">
        <w:rPr>
          <w:rFonts w:eastAsia="Songti TC"/>
        </w:rPr>
        <w:t>, 85-86.</w:t>
      </w:r>
    </w:p>
  </w:footnote>
  <w:footnote w:id="22">
    <w:p w14:paraId="07685D3A"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w:t>
      </w:r>
      <w:r w:rsidRPr="00C53C42">
        <w:rPr>
          <w:rFonts w:eastAsia="Songti TC"/>
          <w:szCs w:val="21"/>
        </w:rPr>
        <w:t>Ibid.</w:t>
      </w:r>
      <w:r w:rsidRPr="00C53C42">
        <w:rPr>
          <w:rFonts w:eastAsia="Songti TC"/>
        </w:rPr>
        <w:t>, 85-86.</w:t>
      </w:r>
    </w:p>
  </w:footnote>
  <w:footnote w:id="23">
    <w:p w14:paraId="49CD21B3"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ZHANG </w:t>
      </w:r>
      <w:proofErr w:type="spellStart"/>
      <w:r w:rsidRPr="00C53C42">
        <w:rPr>
          <w:rFonts w:eastAsia="Songti TC"/>
        </w:rPr>
        <w:t>Dongsun</w:t>
      </w:r>
      <w:proofErr w:type="spellEnd"/>
      <w:r w:rsidRPr="00C53C42">
        <w:rPr>
          <w:rFonts w:eastAsia="Songti TC"/>
        </w:rPr>
        <w:t xml:space="preserve">, “Si </w:t>
      </w:r>
      <w:proofErr w:type="spellStart"/>
      <w:r w:rsidRPr="00C53C42">
        <w:rPr>
          <w:rFonts w:eastAsia="Songti TC"/>
        </w:rPr>
        <w:t>xiang</w:t>
      </w:r>
      <w:proofErr w:type="spellEnd"/>
      <w:r w:rsidRPr="00C53C42">
        <w:rPr>
          <w:rFonts w:eastAsia="Songti TC"/>
        </w:rPr>
        <w:t xml:space="preserve">, </w:t>
      </w:r>
      <w:proofErr w:type="spellStart"/>
      <w:r w:rsidRPr="00C53C42">
        <w:rPr>
          <w:rFonts w:eastAsia="Songti TC"/>
        </w:rPr>
        <w:t>yu</w:t>
      </w:r>
      <w:proofErr w:type="spellEnd"/>
      <w:r w:rsidRPr="00C53C42">
        <w:rPr>
          <w:rFonts w:eastAsia="Songti TC"/>
        </w:rPr>
        <w:t xml:space="preserve"> yang </w:t>
      </w:r>
      <w:proofErr w:type="spellStart"/>
      <w:r w:rsidRPr="00C53C42">
        <w:rPr>
          <w:rFonts w:eastAsia="Songti TC"/>
        </w:rPr>
        <w:t>yu</w:t>
      </w:r>
      <w:proofErr w:type="spellEnd"/>
      <w:r w:rsidRPr="00C53C42">
        <w:rPr>
          <w:rFonts w:eastAsia="Songti TC"/>
        </w:rPr>
        <w:t xml:space="preserve"> wen </w:t>
      </w:r>
      <w:proofErr w:type="spellStart"/>
      <w:r w:rsidRPr="00C53C42">
        <w:rPr>
          <w:rFonts w:eastAsia="Songti TC"/>
        </w:rPr>
        <w:t>hua</w:t>
      </w:r>
      <w:proofErr w:type="spellEnd"/>
      <w:r w:rsidRPr="00C53C42">
        <w:rPr>
          <w:rFonts w:eastAsia="Songti TC"/>
        </w:rPr>
        <w:t xml:space="preserve"> (Thought, Language and Culture),” in </w:t>
      </w:r>
      <w:proofErr w:type="spellStart"/>
      <w:r w:rsidRPr="00C53C42">
        <w:rPr>
          <w:rFonts w:eastAsia="Songti TC"/>
          <w:i/>
          <w:iCs/>
        </w:rPr>
        <w:t>Sociaologia</w:t>
      </w:r>
      <w:proofErr w:type="spellEnd"/>
      <w:r w:rsidRPr="00C53C42">
        <w:rPr>
          <w:rFonts w:eastAsia="Songti TC"/>
        </w:rPr>
        <w:t>, Volume 10 (1938).</w:t>
      </w:r>
    </w:p>
  </w:footnote>
  <w:footnote w:id="24">
    <w:p w14:paraId="5D929DFB"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Chang Tung-sun, </w:t>
      </w:r>
      <w:r w:rsidRPr="00C53C42">
        <w:rPr>
          <w:rFonts w:eastAsia="Songti TC"/>
          <w:szCs w:val="21"/>
        </w:rPr>
        <w:t xml:space="preserve">“A Chinese Philosopher’s Theory of Knowledge,” </w:t>
      </w:r>
      <w:r w:rsidRPr="00C53C42">
        <w:rPr>
          <w:rFonts w:eastAsia="Songti TC"/>
          <w:i/>
        </w:rPr>
        <w:t xml:space="preserve">The </w:t>
      </w:r>
      <w:proofErr w:type="spellStart"/>
      <w:r w:rsidRPr="00C53C42">
        <w:rPr>
          <w:rFonts w:eastAsia="Songti TC"/>
          <w:i/>
        </w:rPr>
        <w:t>Yenching</w:t>
      </w:r>
      <w:proofErr w:type="spellEnd"/>
      <w:r w:rsidRPr="00C53C42">
        <w:rPr>
          <w:rFonts w:eastAsia="Songti TC"/>
          <w:i/>
        </w:rPr>
        <w:t xml:space="preserve"> Journal of Social Studies</w:t>
      </w:r>
      <w:r w:rsidRPr="00C53C42">
        <w:rPr>
          <w:rFonts w:eastAsia="Songti TC"/>
        </w:rPr>
        <w:t>, Vol. I, No.2 (1939)</w:t>
      </w:r>
      <w:r w:rsidRPr="00C53C42">
        <w:rPr>
          <w:rFonts w:eastAsia="Songti TC"/>
          <w:szCs w:val="21"/>
        </w:rPr>
        <w:t>.</w:t>
      </w:r>
    </w:p>
  </w:footnote>
  <w:footnote w:id="25">
    <w:p w14:paraId="5CC383D8"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w:t>
      </w:r>
      <w:proofErr w:type="spellStart"/>
      <w:r w:rsidRPr="00C53C42">
        <w:rPr>
          <w:rFonts w:eastAsia="Songti TC"/>
          <w:szCs w:val="21"/>
        </w:rPr>
        <w:t>Haridas</w:t>
      </w:r>
      <w:proofErr w:type="spellEnd"/>
      <w:r w:rsidRPr="00C53C42">
        <w:rPr>
          <w:rFonts w:eastAsia="Songti TC"/>
          <w:szCs w:val="21"/>
        </w:rPr>
        <w:t xml:space="preserve"> T. </w:t>
      </w:r>
      <w:proofErr w:type="spellStart"/>
      <w:r w:rsidRPr="00C53C42">
        <w:rPr>
          <w:rFonts w:eastAsia="Songti TC"/>
          <w:szCs w:val="21"/>
        </w:rPr>
        <w:t>Muzumdar</w:t>
      </w:r>
      <w:proofErr w:type="spellEnd"/>
      <w:r w:rsidRPr="00C53C42">
        <w:rPr>
          <w:rFonts w:eastAsia="Songti TC"/>
          <w:szCs w:val="21"/>
        </w:rPr>
        <w:t xml:space="preserve">, “A Chinese Philosopher’s Theory of Knowledge,” </w:t>
      </w:r>
      <w:r w:rsidRPr="00C53C42">
        <w:rPr>
          <w:rFonts w:eastAsia="Songti TC"/>
          <w:i/>
          <w:szCs w:val="21"/>
        </w:rPr>
        <w:t>The Midwest Sociologist</w:t>
      </w:r>
      <w:r w:rsidRPr="00C53C42">
        <w:rPr>
          <w:rFonts w:eastAsia="Songti TC"/>
          <w:szCs w:val="21"/>
        </w:rPr>
        <w:t>, Vol. 19, No. 1 (</w:t>
      </w:r>
      <w:proofErr w:type="gramStart"/>
      <w:r w:rsidRPr="00C53C42">
        <w:rPr>
          <w:rFonts w:eastAsia="Songti TC"/>
          <w:szCs w:val="21"/>
        </w:rPr>
        <w:t>Dec.,</w:t>
      </w:r>
      <w:proofErr w:type="gramEnd"/>
      <w:r w:rsidRPr="00C53C42">
        <w:rPr>
          <w:rFonts w:eastAsia="Songti TC"/>
          <w:szCs w:val="21"/>
        </w:rPr>
        <w:t xml:space="preserve"> 1956): 12-17.</w:t>
      </w:r>
    </w:p>
  </w:footnote>
  <w:footnote w:id="26">
    <w:p w14:paraId="53A5D141" w14:textId="77777777" w:rsidR="004156A6" w:rsidRPr="00C53C42" w:rsidRDefault="004156A6" w:rsidP="00C53C42">
      <w:pPr>
        <w:pStyle w:val="Funotentext"/>
        <w:tabs>
          <w:tab w:val="left" w:pos="798"/>
        </w:tabs>
        <w:jc w:val="both"/>
        <w:rPr>
          <w:rFonts w:eastAsia="Songti TC"/>
        </w:rPr>
      </w:pPr>
      <w:r w:rsidRPr="00C53C42">
        <w:rPr>
          <w:rStyle w:val="Funotenzeichen"/>
          <w:rFonts w:eastAsia="Songti TC"/>
        </w:rPr>
        <w:footnoteRef/>
      </w:r>
      <w:r w:rsidRPr="00C53C42">
        <w:rPr>
          <w:rFonts w:eastAsia="Songti TC"/>
        </w:rPr>
        <w:t xml:space="preserve"> SHEN </w:t>
      </w:r>
      <w:proofErr w:type="spellStart"/>
      <w:r w:rsidRPr="00C53C42">
        <w:rPr>
          <w:rFonts w:eastAsia="Songti TC"/>
        </w:rPr>
        <w:t>Jiaxuan</w:t>
      </w:r>
      <w:proofErr w:type="spellEnd"/>
      <w:r w:rsidRPr="00C53C42">
        <w:rPr>
          <w:rFonts w:eastAsia="Songti TC"/>
        </w:rPr>
        <w:t xml:space="preserve">, </w:t>
      </w:r>
      <w:r w:rsidRPr="00C53C42">
        <w:rPr>
          <w:rFonts w:eastAsia="Songti TC"/>
          <w:i/>
          <w:iCs/>
        </w:rPr>
        <w:t xml:space="preserve">Chao </w:t>
      </w:r>
      <w:proofErr w:type="spellStart"/>
      <w:r w:rsidRPr="00C53C42">
        <w:rPr>
          <w:rFonts w:eastAsia="Songti TC"/>
          <w:i/>
          <w:iCs/>
        </w:rPr>
        <w:t>yue</w:t>
      </w:r>
      <w:proofErr w:type="spellEnd"/>
      <w:r w:rsidRPr="00C53C42">
        <w:rPr>
          <w:rFonts w:eastAsia="Songti TC"/>
          <w:i/>
          <w:iCs/>
        </w:rPr>
        <w:t xml:space="preserve"> </w:t>
      </w:r>
      <w:proofErr w:type="spellStart"/>
      <w:r w:rsidRPr="00C53C42">
        <w:rPr>
          <w:rFonts w:eastAsia="Songti TC"/>
          <w:i/>
          <w:iCs/>
        </w:rPr>
        <w:t>zhu</w:t>
      </w:r>
      <w:proofErr w:type="spellEnd"/>
      <w:r w:rsidRPr="00C53C42">
        <w:rPr>
          <w:rFonts w:eastAsia="Songti TC"/>
          <w:i/>
          <w:iCs/>
        </w:rPr>
        <w:t xml:space="preserve"> </w:t>
      </w:r>
      <w:proofErr w:type="spellStart"/>
      <w:r w:rsidRPr="00C53C42">
        <w:rPr>
          <w:rFonts w:eastAsia="Songti TC"/>
          <w:i/>
          <w:iCs/>
        </w:rPr>
        <w:t>wei</w:t>
      </w:r>
      <w:proofErr w:type="spellEnd"/>
      <w:r w:rsidRPr="00C53C42">
        <w:rPr>
          <w:rFonts w:eastAsia="Songti TC"/>
          <w:i/>
          <w:iCs/>
        </w:rPr>
        <w:t xml:space="preserve"> </w:t>
      </w:r>
      <w:proofErr w:type="spellStart"/>
      <w:r w:rsidRPr="00C53C42">
        <w:rPr>
          <w:rFonts w:eastAsia="Songti TC"/>
          <w:i/>
          <w:iCs/>
        </w:rPr>
        <w:t>jie</w:t>
      </w:r>
      <w:proofErr w:type="spellEnd"/>
      <w:r w:rsidRPr="00C53C42">
        <w:rPr>
          <w:rFonts w:eastAsia="Songti TC"/>
          <w:i/>
          <w:iCs/>
        </w:rPr>
        <w:t xml:space="preserve"> </w:t>
      </w:r>
      <w:proofErr w:type="spellStart"/>
      <w:r w:rsidRPr="00C53C42">
        <w:rPr>
          <w:rFonts w:eastAsia="Songti TC"/>
          <w:i/>
          <w:iCs/>
        </w:rPr>
        <w:t>gou</w:t>
      </w:r>
      <w:proofErr w:type="spellEnd"/>
      <w:r w:rsidRPr="00C53C42">
        <w:rPr>
          <w:rFonts w:eastAsia="Songti TC"/>
          <w:i/>
          <w:iCs/>
        </w:rPr>
        <w:t xml:space="preserve">: dui </w:t>
      </w:r>
      <w:proofErr w:type="spellStart"/>
      <w:r w:rsidRPr="00C53C42">
        <w:rPr>
          <w:rFonts w:eastAsia="Songti TC"/>
          <w:i/>
          <w:iCs/>
        </w:rPr>
        <w:t>yan</w:t>
      </w:r>
      <w:proofErr w:type="spellEnd"/>
      <w:r w:rsidRPr="00C53C42">
        <w:rPr>
          <w:rFonts w:eastAsia="Songti TC"/>
          <w:i/>
          <w:iCs/>
        </w:rPr>
        <w:t xml:space="preserve"> </w:t>
      </w:r>
      <w:proofErr w:type="spellStart"/>
      <w:r w:rsidRPr="00C53C42">
        <w:rPr>
          <w:rFonts w:eastAsia="Songti TC"/>
          <w:i/>
          <w:iCs/>
        </w:rPr>
        <w:t>yu</w:t>
      </w:r>
      <w:proofErr w:type="spellEnd"/>
      <w:r w:rsidRPr="00C53C42">
        <w:rPr>
          <w:rFonts w:eastAsia="Songti TC"/>
          <w:i/>
          <w:iCs/>
        </w:rPr>
        <w:t xml:space="preserve"> fa he dui yang e </w:t>
      </w:r>
      <w:proofErr w:type="spellStart"/>
      <w:r w:rsidRPr="00C53C42">
        <w:rPr>
          <w:rFonts w:eastAsia="Songti TC"/>
          <w:i/>
          <w:iCs/>
        </w:rPr>
        <w:t>shi</w:t>
      </w:r>
      <w:proofErr w:type="spellEnd"/>
      <w:r w:rsidRPr="00C53C42">
        <w:rPr>
          <w:rFonts w:eastAsia="Songti TC"/>
        </w:rPr>
        <w:t xml:space="preserve"> (Beijing: The Commercial Press, 2019). </w:t>
      </w:r>
    </w:p>
  </w:footnote>
  <w:footnote w:id="27">
    <w:p w14:paraId="1B599803"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w:t>
      </w:r>
      <w:proofErr w:type="spellStart"/>
      <w:r w:rsidRPr="00C53C42">
        <w:rPr>
          <w:rFonts w:eastAsia="Songti TC"/>
          <w:szCs w:val="21"/>
        </w:rPr>
        <w:t>Haridas</w:t>
      </w:r>
      <w:proofErr w:type="spellEnd"/>
      <w:r w:rsidRPr="00C53C42">
        <w:rPr>
          <w:rFonts w:eastAsia="Songti TC"/>
          <w:szCs w:val="21"/>
        </w:rPr>
        <w:t xml:space="preserve"> T. </w:t>
      </w:r>
      <w:proofErr w:type="spellStart"/>
      <w:r w:rsidRPr="00C53C42">
        <w:rPr>
          <w:rFonts w:eastAsia="Songti TC"/>
          <w:szCs w:val="21"/>
        </w:rPr>
        <w:t>Muzumdar</w:t>
      </w:r>
      <w:proofErr w:type="spellEnd"/>
      <w:r w:rsidRPr="00C53C42">
        <w:rPr>
          <w:rFonts w:eastAsia="Songti TC"/>
          <w:szCs w:val="21"/>
        </w:rPr>
        <w:t>, “A Chinese Philosopher’s Theory of Knowledge,” 16.</w:t>
      </w:r>
    </w:p>
  </w:footnote>
  <w:footnote w:id="28">
    <w:p w14:paraId="5729660F"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w:t>
      </w:r>
      <w:r w:rsidRPr="00C53C42">
        <w:rPr>
          <w:rFonts w:eastAsia="Songti TC"/>
          <w:szCs w:val="21"/>
        </w:rPr>
        <w:t xml:space="preserve">Julia Kristeva, </w:t>
      </w:r>
      <w:r w:rsidRPr="00C53C42">
        <w:rPr>
          <w:rFonts w:eastAsia="Songti TC"/>
          <w:i/>
          <w:iCs/>
          <w:szCs w:val="21"/>
        </w:rPr>
        <w:t>Desire in Language: A Semiotic Approach to Literature and Art</w:t>
      </w:r>
      <w:r w:rsidRPr="00C53C42">
        <w:rPr>
          <w:rFonts w:eastAsia="Songti TC"/>
          <w:szCs w:val="21"/>
        </w:rPr>
        <w:t>,</w:t>
      </w:r>
      <w:r w:rsidRPr="00C53C42">
        <w:rPr>
          <w:rFonts w:eastAsia="Songti TC"/>
        </w:rPr>
        <w:t xml:space="preserve"> 91, footnote 20.</w:t>
      </w:r>
    </w:p>
  </w:footnote>
  <w:footnote w:id="29">
    <w:p w14:paraId="6A3D256A"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Ibid.,</w:t>
      </w:r>
      <w:r w:rsidRPr="00C53C42">
        <w:rPr>
          <w:rFonts w:eastAsia="Songti TC"/>
          <w:szCs w:val="21"/>
        </w:rPr>
        <w:t xml:space="preserve"> 70.</w:t>
      </w:r>
    </w:p>
  </w:footnote>
  <w:footnote w:id="30">
    <w:p w14:paraId="46D136CA" w14:textId="77777777" w:rsidR="004156A6" w:rsidRPr="00C53C42" w:rsidRDefault="004156A6" w:rsidP="00C53C42">
      <w:pPr>
        <w:pStyle w:val="Funotentext"/>
        <w:jc w:val="both"/>
        <w:rPr>
          <w:rFonts w:eastAsia="Songti TC"/>
        </w:rPr>
      </w:pPr>
      <w:r w:rsidRPr="00C53C42">
        <w:rPr>
          <w:rStyle w:val="Funotenzeichen"/>
          <w:rFonts w:eastAsia="Songti TC"/>
        </w:rPr>
        <w:footnoteRef/>
      </w:r>
      <w:r w:rsidRPr="00C53C42">
        <w:rPr>
          <w:rFonts w:eastAsia="Songti TC"/>
        </w:rPr>
        <w:t xml:space="preserve"> A. C. Graham, </w:t>
      </w:r>
      <w:r w:rsidRPr="00C53C42">
        <w:rPr>
          <w:rFonts w:eastAsia="Songti TC"/>
          <w:i/>
          <w:szCs w:val="21"/>
        </w:rPr>
        <w:t>Yin-</w:t>
      </w:r>
      <w:proofErr w:type="gramStart"/>
      <w:r w:rsidRPr="00C53C42">
        <w:rPr>
          <w:rFonts w:eastAsia="Songti TC"/>
          <w:i/>
          <w:szCs w:val="21"/>
        </w:rPr>
        <w:t>Yang</w:t>
      </w:r>
      <w:proofErr w:type="gramEnd"/>
      <w:r w:rsidRPr="00C53C42">
        <w:rPr>
          <w:rFonts w:eastAsia="Songti TC"/>
          <w:i/>
          <w:szCs w:val="21"/>
        </w:rPr>
        <w:t xml:space="preserve"> and the Nature of Correlative Thinking</w:t>
      </w:r>
      <w:r w:rsidRPr="00C53C42">
        <w:rPr>
          <w:rFonts w:eastAsia="Songti TC"/>
        </w:rPr>
        <w:t xml:space="preserve"> (Singapore: Institute of East Asian Philosophies, 1986).</w:t>
      </w:r>
    </w:p>
  </w:footnote>
  <w:footnote w:id="31">
    <w:p w14:paraId="632FB0B5" w14:textId="77777777" w:rsidR="004156A6" w:rsidRPr="00C53C42" w:rsidRDefault="004156A6" w:rsidP="00C53C42">
      <w:pPr>
        <w:pStyle w:val="Funotentext"/>
        <w:tabs>
          <w:tab w:val="left" w:pos="1532"/>
        </w:tabs>
        <w:jc w:val="both"/>
        <w:rPr>
          <w:rFonts w:eastAsia="Songti TC"/>
        </w:rPr>
      </w:pPr>
      <w:r w:rsidRPr="00C53C42">
        <w:rPr>
          <w:rStyle w:val="Funotenzeichen"/>
          <w:rFonts w:eastAsia="Songti TC"/>
        </w:rPr>
        <w:footnoteRef/>
      </w:r>
      <w:r w:rsidRPr="00C53C42">
        <w:rPr>
          <w:rFonts w:eastAsia="Songti TC"/>
        </w:rPr>
        <w:t xml:space="preserve"> Ibid.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A6"/>
    <w:rsid w:val="00123CCD"/>
    <w:rsid w:val="0016380B"/>
    <w:rsid w:val="004156A6"/>
    <w:rsid w:val="00522780"/>
    <w:rsid w:val="00594F8B"/>
    <w:rsid w:val="006B4E66"/>
    <w:rsid w:val="009F447E"/>
    <w:rsid w:val="00C53C42"/>
    <w:rsid w:val="00F4135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DB4754"/>
  <w15:chartTrackingRefBased/>
  <w15:docId w15:val="{90834959-3EC2-714D-8E1A-A31BE6F0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56A6"/>
    <w:pPr>
      <w:widowControl w:val="0"/>
      <w:jc w:val="both"/>
    </w:pPr>
    <w:rPr>
      <w:rFonts w:ascii="Calibri" w:eastAsia="SimSun" w:hAnsi="Calibri" w:cs="Times New Roman"/>
      <w:kern w:val="2"/>
      <w:sz w:val="21"/>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aliases w:val="II,fußn,脚注文本 Char Char Char Char Char Char Char Char Char Char Char Char Char Char Char Char Char Char Char Char Char Char Char Char Char Char Char Char Char Char Char"/>
    <w:basedOn w:val="Standard"/>
    <w:link w:val="FunotentextZchn"/>
    <w:qFormat/>
    <w:rsid w:val="004156A6"/>
    <w:pPr>
      <w:snapToGrid w:val="0"/>
      <w:jc w:val="left"/>
    </w:pPr>
    <w:rPr>
      <w:rFonts w:ascii="Times New Roman" w:hAnsi="Times New Roman"/>
      <w:sz w:val="18"/>
      <w:szCs w:val="18"/>
    </w:rPr>
  </w:style>
  <w:style w:type="character" w:customStyle="1" w:styleId="FunotentextZchn">
    <w:name w:val="Fußnotentext Zchn"/>
    <w:aliases w:val="II Zchn,fußn Zchn,脚注文本 Char Char Char Char Char Char Char Char Char Char Char Char Char Char Char Char Char Char Char Char Char Char Char Char Char Char Char Char Char Char Char Zchn"/>
    <w:basedOn w:val="Absatz-Standardschriftart"/>
    <w:link w:val="Funotentext"/>
    <w:qFormat/>
    <w:rsid w:val="004156A6"/>
    <w:rPr>
      <w:rFonts w:ascii="Times New Roman" w:eastAsia="SimSun" w:hAnsi="Times New Roman" w:cs="Times New Roman"/>
      <w:kern w:val="2"/>
      <w:sz w:val="18"/>
      <w:szCs w:val="18"/>
      <w:lang w:val="en-US"/>
    </w:rPr>
  </w:style>
  <w:style w:type="character" w:styleId="Funotenzeichen">
    <w:name w:val="footnote reference"/>
    <w:aliases w:val="Fußnotenzeichenbuch,Reference number style"/>
    <w:qFormat/>
    <w:rsid w:val="004156A6"/>
    <w:rPr>
      <w:vertAlign w:val="superscript"/>
    </w:rPr>
  </w:style>
  <w:style w:type="character" w:styleId="Hyperlink">
    <w:name w:val="Hyperlink"/>
    <w:uiPriority w:val="99"/>
    <w:unhideWhenUsed/>
    <w:rsid w:val="004156A6"/>
    <w:rPr>
      <w:color w:val="0563C1"/>
      <w:u w:val="single"/>
    </w:rPr>
  </w:style>
  <w:style w:type="character" w:styleId="Zeilennummer">
    <w:name w:val="line number"/>
    <w:basedOn w:val="Absatz-Standardschriftart"/>
    <w:uiPriority w:val="99"/>
    <w:semiHidden/>
    <w:unhideWhenUsed/>
    <w:rsid w:val="00F41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ctext.org/wiki.pl?if=gb&amp;res=548729&amp;remap=gb" TargetMode="External"/><Relationship Id="rId1" Type="http://schemas.openxmlformats.org/officeDocument/2006/relationships/hyperlink" Target="https://tv.cctv.com/2017/03/28/VIDEVt0TQvlQN5nsbbQlgtnU170328.shtml?sp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1446</Words>
  <Characters>9116</Characters>
  <Application>Microsoft Office Word</Application>
  <DocSecurity>0</DocSecurity>
  <Lines>75</Lines>
  <Paragraphs>21</Paragraphs>
  <ScaleCrop>false</ScaleCrop>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3</cp:revision>
  <dcterms:created xsi:type="dcterms:W3CDTF">2022-05-30T20:34:00Z</dcterms:created>
  <dcterms:modified xsi:type="dcterms:W3CDTF">2022-05-30T20:50:00Z</dcterms:modified>
</cp:coreProperties>
</file>