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80D21" w14:textId="77777777" w:rsidR="00F22180" w:rsidRPr="008E4626" w:rsidRDefault="00F22180" w:rsidP="00F22180">
      <w:pPr>
        <w:shd w:val="clear" w:color="auto" w:fill="FFFFFF"/>
        <w:spacing w:before="120" w:after="120"/>
        <w:jc w:val="center"/>
        <w:outlineLvl w:val="1"/>
        <w:rPr>
          <w:rFonts w:ascii="Times New Roman" w:eastAsia="Times New Roman" w:hAnsi="Times New Roman" w:cs="Times New Roman"/>
          <w:b/>
          <w:bCs/>
          <w:color w:val="000000" w:themeColor="text1"/>
          <w:sz w:val="32"/>
          <w:szCs w:val="32"/>
        </w:rPr>
      </w:pPr>
      <w:bookmarkStart w:id="0" w:name="OLE_LINK5"/>
      <w:bookmarkStart w:id="1" w:name="OLE_LINK6"/>
      <w:bookmarkStart w:id="2" w:name="OLE_LINK10"/>
      <w:r>
        <w:rPr>
          <w:rFonts w:ascii="Times New Roman" w:eastAsia="Times New Roman" w:hAnsi="Times New Roman" w:cs="Times New Roman"/>
          <w:b/>
          <w:bCs/>
          <w:color w:val="000000" w:themeColor="text1"/>
          <w:sz w:val="32"/>
          <w:szCs w:val="32"/>
          <w:lang w:eastAsia="en-GB"/>
        </w:rPr>
        <w:t>e</w:t>
      </w:r>
      <w:r w:rsidRPr="00082685">
        <w:rPr>
          <w:rFonts w:ascii="Times New Roman" w:eastAsia="Times New Roman" w:hAnsi="Times New Roman" w:cs="Times New Roman"/>
          <w:b/>
          <w:bCs/>
          <w:color w:val="000000" w:themeColor="text1"/>
          <w:sz w:val="32"/>
          <w:szCs w:val="32"/>
          <w:lang w:eastAsia="en-GB"/>
        </w:rPr>
        <w:t xml:space="preserve">quality </w:t>
      </w:r>
      <w:r w:rsidRPr="008E4626">
        <w:rPr>
          <w:rFonts w:ascii="Times New Roman" w:eastAsia="Times New Roman" w:hAnsi="Times New Roman" w:cs="Times New Roman"/>
          <w:b/>
          <w:bCs/>
          <w:color w:val="000000" w:themeColor="text1"/>
          <w:sz w:val="32"/>
          <w:szCs w:val="32"/>
          <w:lang w:eastAsia="en-GB"/>
        </w:rPr>
        <w:t>/</w:t>
      </w:r>
      <w:r w:rsidRPr="00072783">
        <w:rPr>
          <w:rFonts w:ascii="Songti TC" w:eastAsia="Songti TC" w:hAnsi="Songti TC" w:cs="SimSun" w:hint="eastAsia"/>
          <w:b/>
          <w:bCs/>
          <w:color w:val="000000" w:themeColor="text1"/>
          <w:sz w:val="32"/>
          <w:szCs w:val="32"/>
        </w:rPr>
        <w:t>平等</w:t>
      </w:r>
      <w:r w:rsidRPr="008E4626">
        <w:rPr>
          <w:rFonts w:ascii="Times New Roman" w:hAnsi="Times New Roman" w:cs="Times New Roman"/>
          <w:b/>
          <w:bCs/>
          <w:color w:val="000000" w:themeColor="text1"/>
          <w:sz w:val="32"/>
          <w:szCs w:val="32"/>
        </w:rPr>
        <w:t>(</w:t>
      </w:r>
      <w:r w:rsidRPr="00082685">
        <w:rPr>
          <w:rFonts w:ascii="Times New Roman" w:hAnsi="Times New Roman" w:cs="Times New Roman"/>
          <w:b/>
          <w:bCs/>
          <w:color w:val="000000" w:themeColor="text1"/>
          <w:sz w:val="32"/>
          <w:szCs w:val="32"/>
        </w:rPr>
        <w:t>Píng Děng</w:t>
      </w:r>
      <w:r w:rsidRPr="008E4626">
        <w:rPr>
          <w:rFonts w:ascii="Times New Roman" w:hAnsi="Times New Roman" w:cs="Times New Roman"/>
          <w:b/>
          <w:bCs/>
          <w:color w:val="000000" w:themeColor="text1"/>
          <w:sz w:val="32"/>
          <w:szCs w:val="32"/>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5"/>
        <w:gridCol w:w="2768"/>
        <w:gridCol w:w="2727"/>
      </w:tblGrid>
      <w:tr w:rsidR="00F22180" w14:paraId="38739286" w14:textId="77777777" w:rsidTr="008B5406">
        <w:trPr>
          <w:jc w:val="center"/>
        </w:trPr>
        <w:tc>
          <w:tcPr>
            <w:tcW w:w="3020" w:type="dxa"/>
          </w:tcPr>
          <w:p w14:paraId="271C8461" w14:textId="2C76B448" w:rsidR="00F22180" w:rsidRPr="00ED4DE0" w:rsidRDefault="00F22180" w:rsidP="008B5406">
            <w:pPr>
              <w:jc w:val="center"/>
              <w:rPr>
                <w:rFonts w:ascii="Times New Roman" w:hAnsi="Times New Roman" w:cs="Times New Roman"/>
              </w:rPr>
            </w:pPr>
            <w:bookmarkStart w:id="3" w:name="OLE_LINK7"/>
            <w:bookmarkStart w:id="4" w:name="OLE_LINK8"/>
            <w:bookmarkStart w:id="5" w:name="OLE_LINK9"/>
            <w:r>
              <w:rPr>
                <w:rFonts w:ascii="Times New Roman" w:hAnsi="Times New Roman" w:cs="Times New Roman"/>
              </w:rPr>
              <w:t>Chinese</w:t>
            </w:r>
            <w:r w:rsidRPr="001E0C0B">
              <w:rPr>
                <w:rFonts w:ascii="Times New Roman" w:hAnsi="Times New Roman" w:cs="Times New Roman"/>
              </w:rPr>
              <w:t xml:space="preserve"> Perspective</w:t>
            </w:r>
          </w:p>
        </w:tc>
        <w:tc>
          <w:tcPr>
            <w:tcW w:w="3021" w:type="dxa"/>
          </w:tcPr>
          <w:p w14:paraId="0C0F4B78" w14:textId="4140C54B" w:rsidR="00F22180" w:rsidRPr="00ED4DE0" w:rsidRDefault="0031161A" w:rsidP="008B5406">
            <w:pPr>
              <w:jc w:val="center"/>
              <w:rPr>
                <w:rFonts w:ascii="Times New Roman" w:hAnsi="Times New Roman" w:cs="Times New Roman"/>
              </w:rPr>
            </w:pPr>
            <w:r>
              <w:rPr>
                <w:rFonts w:ascii="Times New Roman" w:hAnsi="Times New Roman" w:cs="Times New Roman"/>
              </w:rPr>
              <w:t>CUI Zhiyuan</w:t>
            </w:r>
          </w:p>
        </w:tc>
        <w:tc>
          <w:tcPr>
            <w:tcW w:w="3021" w:type="dxa"/>
          </w:tcPr>
          <w:p w14:paraId="41CEDFFC" w14:textId="7F24C5DC" w:rsidR="00F22180" w:rsidRPr="00ED4DE0" w:rsidRDefault="00F22180" w:rsidP="008B5406">
            <w:pPr>
              <w:jc w:val="center"/>
              <w:rPr>
                <w:rFonts w:ascii="Times New Roman" w:hAnsi="Times New Roman" w:cs="Times New Roman"/>
              </w:rPr>
            </w:pPr>
            <w:r>
              <w:rPr>
                <w:rFonts w:ascii="Times New Roman" w:hAnsi="Times New Roman" w:cs="Times New Roman"/>
              </w:rPr>
              <w:t>09 Jun 2022</w:t>
            </w:r>
          </w:p>
        </w:tc>
      </w:tr>
    </w:tbl>
    <w:bookmarkEnd w:id="0"/>
    <w:bookmarkEnd w:id="1"/>
    <w:bookmarkEnd w:id="2"/>
    <w:bookmarkEnd w:id="3"/>
    <w:bookmarkEnd w:id="4"/>
    <w:bookmarkEnd w:id="5"/>
    <w:p w14:paraId="4FD52C2E" w14:textId="3C9111A6" w:rsidR="00392922" w:rsidRPr="00F22180" w:rsidRDefault="00FD2DFD" w:rsidP="00F22180">
      <w:pPr>
        <w:spacing w:before="120" w:after="120"/>
        <w:rPr>
          <w:rFonts w:ascii="Times New Roman" w:eastAsia="Songti TC" w:hAnsi="Times New Roman" w:cs="Times New Roman"/>
          <w:sz w:val="24"/>
        </w:rPr>
      </w:pPr>
      <w:r w:rsidRPr="00F22180">
        <w:rPr>
          <w:rFonts w:ascii="Times New Roman" w:eastAsia="Songti TC" w:hAnsi="Times New Roman" w:cs="Times New Roman"/>
          <w:sz w:val="24"/>
        </w:rPr>
        <w:t>To understand t</w:t>
      </w:r>
      <w:r w:rsidR="00392922" w:rsidRPr="00F22180">
        <w:rPr>
          <w:rFonts w:ascii="Times New Roman" w:eastAsia="Songti TC" w:hAnsi="Times New Roman" w:cs="Times New Roman"/>
          <w:sz w:val="24"/>
        </w:rPr>
        <w:t xml:space="preserve">he </w:t>
      </w:r>
      <w:r w:rsidRPr="00F22180">
        <w:rPr>
          <w:rFonts w:ascii="Times New Roman" w:eastAsia="Songti TC" w:hAnsi="Times New Roman" w:cs="Times New Roman"/>
          <w:sz w:val="24"/>
        </w:rPr>
        <w:t>concept of</w:t>
      </w:r>
      <w:r w:rsidR="00392922" w:rsidRPr="00F22180">
        <w:rPr>
          <w:rFonts w:ascii="Times New Roman" w:eastAsia="Songti TC" w:hAnsi="Times New Roman" w:cs="Times New Roman"/>
          <w:sz w:val="24"/>
        </w:rPr>
        <w:t xml:space="preserve"> “</w:t>
      </w:r>
      <w:r w:rsidR="00392922" w:rsidRPr="00F22180">
        <w:rPr>
          <w:rFonts w:ascii="Times New Roman" w:eastAsia="Songti TC" w:hAnsi="Times New Roman" w:cs="Times New Roman"/>
          <w:sz w:val="24"/>
        </w:rPr>
        <w:t>平等</w:t>
      </w:r>
      <w:r w:rsidR="00392922" w:rsidRPr="00F22180">
        <w:rPr>
          <w:rFonts w:ascii="Times New Roman" w:eastAsia="Songti TC" w:hAnsi="Times New Roman" w:cs="Times New Roman"/>
          <w:sz w:val="24"/>
        </w:rPr>
        <w:t>/Equality</w:t>
      </w:r>
      <w:r w:rsidRPr="00F22180">
        <w:rPr>
          <w:rFonts w:ascii="Times New Roman" w:eastAsia="Songti TC" w:hAnsi="Times New Roman" w:cs="Times New Roman"/>
          <w:sz w:val="24"/>
        </w:rPr>
        <w:t>”</w:t>
      </w:r>
      <w:r w:rsidR="00E469E1" w:rsidRPr="00F22180">
        <w:rPr>
          <w:rFonts w:ascii="Times New Roman" w:eastAsia="Songti TC" w:hAnsi="Times New Roman" w:cs="Times New Roman"/>
          <w:sz w:val="24"/>
        </w:rPr>
        <w:t xml:space="preserve"> </w:t>
      </w:r>
      <w:r w:rsidRPr="00F22180">
        <w:rPr>
          <w:rFonts w:ascii="Times New Roman" w:eastAsia="Songti TC" w:hAnsi="Times New Roman" w:cs="Times New Roman"/>
          <w:sz w:val="24"/>
        </w:rPr>
        <w:t xml:space="preserve">in China is not an easy task, since there </w:t>
      </w:r>
      <w:r w:rsidR="00976E4C" w:rsidRPr="00F22180">
        <w:rPr>
          <w:rFonts w:ascii="Times New Roman" w:eastAsia="Songti TC" w:hAnsi="Times New Roman" w:cs="Times New Roman"/>
          <w:sz w:val="24"/>
        </w:rPr>
        <w:t>exists</w:t>
      </w:r>
      <w:r w:rsidRPr="00F22180">
        <w:rPr>
          <w:rFonts w:ascii="Times New Roman" w:eastAsia="Songti TC" w:hAnsi="Times New Roman" w:cs="Times New Roman"/>
          <w:sz w:val="24"/>
        </w:rPr>
        <w:t xml:space="preserve"> no corresponding triad to the European one of liberty, equality and fraternity to locate this concept. Moreover, there are competing conceptions of equality</w:t>
      </w:r>
      <w:r w:rsidR="00F072CF" w:rsidRPr="00F22180">
        <w:rPr>
          <w:rFonts w:ascii="Times New Roman" w:eastAsia="Songti TC" w:hAnsi="Times New Roman" w:cs="Times New Roman"/>
          <w:sz w:val="24"/>
        </w:rPr>
        <w:t>, both in China</w:t>
      </w:r>
      <w:r w:rsidRPr="00F22180">
        <w:rPr>
          <w:rFonts w:ascii="Times New Roman" w:eastAsia="Songti TC" w:hAnsi="Times New Roman" w:cs="Times New Roman"/>
          <w:sz w:val="24"/>
        </w:rPr>
        <w:t xml:space="preserve"> </w:t>
      </w:r>
      <w:r w:rsidR="00F072CF" w:rsidRPr="00F22180">
        <w:rPr>
          <w:rFonts w:ascii="Times New Roman" w:eastAsia="Songti TC" w:hAnsi="Times New Roman" w:cs="Times New Roman"/>
          <w:sz w:val="24"/>
        </w:rPr>
        <w:t>and in</w:t>
      </w:r>
      <w:r w:rsidR="009B600C" w:rsidRPr="00F22180">
        <w:rPr>
          <w:rFonts w:ascii="Times New Roman" w:eastAsia="Songti TC" w:hAnsi="Times New Roman" w:cs="Times New Roman"/>
          <w:sz w:val="24"/>
        </w:rPr>
        <w:t xml:space="preserve"> </w:t>
      </w:r>
      <w:r w:rsidR="00F072CF" w:rsidRPr="00F22180">
        <w:rPr>
          <w:rFonts w:ascii="Times New Roman" w:eastAsia="Songti TC" w:hAnsi="Times New Roman" w:cs="Times New Roman"/>
          <w:sz w:val="24"/>
        </w:rPr>
        <w:t xml:space="preserve">Europe, both </w:t>
      </w:r>
      <w:r w:rsidR="009B600C" w:rsidRPr="00F22180">
        <w:rPr>
          <w:rFonts w:ascii="Times New Roman" w:eastAsia="Songti TC" w:hAnsi="Times New Roman" w:cs="Times New Roman"/>
          <w:sz w:val="24"/>
        </w:rPr>
        <w:t xml:space="preserve">in </w:t>
      </w:r>
      <w:r w:rsidR="00F072CF" w:rsidRPr="00F22180">
        <w:rPr>
          <w:rFonts w:ascii="Times New Roman" w:eastAsia="Songti TC" w:hAnsi="Times New Roman" w:cs="Times New Roman"/>
          <w:sz w:val="24"/>
        </w:rPr>
        <w:t>histor</w:t>
      </w:r>
      <w:r w:rsidR="009B600C" w:rsidRPr="00F22180">
        <w:rPr>
          <w:rFonts w:ascii="Times New Roman" w:eastAsia="Songti TC" w:hAnsi="Times New Roman" w:cs="Times New Roman"/>
          <w:sz w:val="24"/>
        </w:rPr>
        <w:t>y</w:t>
      </w:r>
      <w:r w:rsidR="00F072CF" w:rsidRPr="00F22180">
        <w:rPr>
          <w:rFonts w:ascii="Times New Roman" w:eastAsia="Songti TC" w:hAnsi="Times New Roman" w:cs="Times New Roman"/>
          <w:sz w:val="24"/>
        </w:rPr>
        <w:t xml:space="preserve"> and </w:t>
      </w:r>
      <w:r w:rsidR="009B600C" w:rsidRPr="00F22180">
        <w:rPr>
          <w:rFonts w:ascii="Times New Roman" w:eastAsia="Songti TC" w:hAnsi="Times New Roman" w:cs="Times New Roman"/>
          <w:sz w:val="24"/>
        </w:rPr>
        <w:t>in contemporary time.</w:t>
      </w:r>
    </w:p>
    <w:p w14:paraId="2E88981D" w14:textId="7D3BD8D1" w:rsidR="00A8517F" w:rsidRPr="00F22180" w:rsidRDefault="00E469E1" w:rsidP="00F22180">
      <w:pPr>
        <w:spacing w:before="120" w:after="120"/>
        <w:rPr>
          <w:rFonts w:ascii="Times New Roman" w:eastAsia="Songti TC" w:hAnsi="Times New Roman" w:cs="Times New Roman"/>
          <w:sz w:val="24"/>
          <w:lang w:val="en-GB"/>
        </w:rPr>
      </w:pPr>
      <w:r w:rsidRPr="00F22180">
        <w:rPr>
          <w:rFonts w:ascii="Times New Roman" w:eastAsia="Songti TC" w:hAnsi="Times New Roman" w:cs="Times New Roman"/>
          <w:sz w:val="24"/>
        </w:rPr>
        <w:t xml:space="preserve">In this entry, I propose that </w:t>
      </w:r>
      <w:r w:rsidRPr="00F22180">
        <w:rPr>
          <w:rFonts w:ascii="Times New Roman" w:eastAsia="Songti TC" w:hAnsi="Times New Roman" w:cs="Times New Roman"/>
          <w:sz w:val="24"/>
          <w:lang w:val="en-GB"/>
        </w:rPr>
        <w:t>Alexis de Tocqueville’s distinction between “social equality” and “political equality” can help us to make sense of the Chinese concept of “equality”</w:t>
      </w:r>
      <w:r w:rsidR="002C3204" w:rsidRPr="00F22180">
        <w:rPr>
          <w:rFonts w:ascii="Times New Roman" w:eastAsia="Songti TC" w:hAnsi="Times New Roman" w:cs="Times New Roman"/>
          <w:sz w:val="24"/>
          <w:lang w:val="en-GB"/>
        </w:rPr>
        <w:t xml:space="preserve"> both in historical and modern times</w:t>
      </w:r>
      <w:r w:rsidRPr="00F22180">
        <w:rPr>
          <w:rFonts w:ascii="Times New Roman" w:eastAsia="Songti TC" w:hAnsi="Times New Roman" w:cs="Times New Roman"/>
          <w:sz w:val="24"/>
        </w:rPr>
        <w:t xml:space="preserve">. </w:t>
      </w:r>
      <w:r w:rsidR="00A8517F" w:rsidRPr="00F22180">
        <w:rPr>
          <w:rFonts w:ascii="Times New Roman" w:eastAsia="Songti TC" w:hAnsi="Times New Roman" w:cs="Times New Roman"/>
          <w:sz w:val="24"/>
        </w:rPr>
        <w:t xml:space="preserve">This famous distinction can be found in </w:t>
      </w:r>
      <w:r w:rsidR="00A8517F" w:rsidRPr="00F22180">
        <w:rPr>
          <w:rFonts w:ascii="Times New Roman" w:eastAsia="Songti TC" w:hAnsi="Times New Roman" w:cs="Times New Roman"/>
          <w:sz w:val="24"/>
          <w:lang w:val="en-GB"/>
        </w:rPr>
        <w:t>Tocqueville’s “Democracy in America”:</w:t>
      </w:r>
    </w:p>
    <w:p w14:paraId="5149DAA9" w14:textId="465A9D34" w:rsidR="00E469E1" w:rsidRPr="00F22180" w:rsidRDefault="00E469E1" w:rsidP="00F22180">
      <w:pPr>
        <w:spacing w:before="120" w:after="120"/>
        <w:rPr>
          <w:rFonts w:ascii="Times New Roman" w:eastAsia="Songti TC" w:hAnsi="Times New Roman" w:cs="Times New Roman"/>
          <w:sz w:val="24"/>
          <w:lang w:val="en-GB"/>
        </w:rPr>
      </w:pPr>
      <w:r w:rsidRPr="00F22180">
        <w:rPr>
          <w:rFonts w:ascii="Times New Roman" w:eastAsia="Songti TC" w:hAnsi="Times New Roman" w:cs="Times New Roman"/>
          <w:sz w:val="24"/>
          <w:lang w:val="en-GB"/>
        </w:rPr>
        <w:t>“Equality can take root in civil society without having any sway in the world of politics. A man may have the right to enjoy the same pleasures, enter the same professions, meet in the same places; in a word, to live in the same way and to seek wealth by the same means, without all men taking the same part in the government.”</w:t>
      </w:r>
      <w:r w:rsidR="00340AF8" w:rsidRPr="00F22180">
        <w:rPr>
          <w:rStyle w:val="Funotenzeichen"/>
          <w:rFonts w:ascii="Times New Roman" w:eastAsia="Songti TC" w:hAnsi="Times New Roman" w:cs="Times New Roman"/>
          <w:sz w:val="24"/>
          <w:lang w:val="en-GB"/>
        </w:rPr>
        <w:footnoteReference w:id="1"/>
      </w:r>
    </w:p>
    <w:p w14:paraId="2B97845C" w14:textId="439097E9" w:rsidR="004E7066" w:rsidRPr="00F22180" w:rsidRDefault="004E7066" w:rsidP="00F22180">
      <w:pPr>
        <w:spacing w:before="120" w:after="120"/>
        <w:rPr>
          <w:rFonts w:ascii="Times New Roman" w:eastAsia="Songti TC" w:hAnsi="Times New Roman" w:cs="Times New Roman"/>
          <w:sz w:val="24"/>
        </w:rPr>
      </w:pPr>
      <w:r w:rsidRPr="00F22180">
        <w:rPr>
          <w:rFonts w:ascii="Times New Roman" w:eastAsia="Songti TC" w:hAnsi="Times New Roman" w:cs="Times New Roman"/>
          <w:sz w:val="24"/>
          <w:lang w:val="en-GB"/>
        </w:rPr>
        <w:t xml:space="preserve">Obviously, from the earliest dynasties of the Xia, Shang and Zhou (about third </w:t>
      </w:r>
      <w:r w:rsidR="001C4956" w:rsidRPr="00F22180">
        <w:rPr>
          <w:rFonts w:ascii="Times New Roman" w:eastAsia="Songti TC" w:hAnsi="Times New Roman" w:cs="Times New Roman"/>
          <w:sz w:val="24"/>
          <w:lang w:val="en-GB"/>
        </w:rPr>
        <w:t>millennium BCE) to the last dynasty of the Qing (1644-1911)</w:t>
      </w:r>
      <w:r w:rsidR="00491FCA" w:rsidRPr="00F22180">
        <w:rPr>
          <w:rFonts w:ascii="Times New Roman" w:eastAsia="Songti TC" w:hAnsi="Times New Roman" w:cs="Times New Roman"/>
          <w:sz w:val="24"/>
          <w:lang w:val="en-GB"/>
        </w:rPr>
        <w:t>, there were no political equality of modern sense</w:t>
      </w:r>
      <w:r w:rsidR="00532248" w:rsidRPr="00F22180">
        <w:rPr>
          <w:rFonts w:ascii="Times New Roman" w:eastAsia="Songti TC" w:hAnsi="Times New Roman" w:cs="Times New Roman"/>
          <w:sz w:val="24"/>
          <w:lang w:val="en-GB"/>
        </w:rPr>
        <w:t xml:space="preserve"> </w:t>
      </w:r>
      <w:r w:rsidR="00491FCA" w:rsidRPr="00F22180">
        <w:rPr>
          <w:rFonts w:ascii="Times New Roman" w:eastAsia="Songti TC" w:hAnsi="Times New Roman" w:cs="Times New Roman"/>
          <w:sz w:val="24"/>
          <w:lang w:val="en-GB"/>
        </w:rPr>
        <w:t xml:space="preserve">(understood as citizenship rights and equal chance of political participation through universal suffrage) </w:t>
      </w:r>
      <w:r w:rsidR="005D4315" w:rsidRPr="00F22180">
        <w:rPr>
          <w:rFonts w:ascii="Times New Roman" w:eastAsia="Songti TC" w:hAnsi="Times New Roman" w:cs="Times New Roman"/>
          <w:sz w:val="24"/>
          <w:lang w:val="en-GB"/>
        </w:rPr>
        <w:t xml:space="preserve">to </w:t>
      </w:r>
      <w:r w:rsidR="00491FCA" w:rsidRPr="00F22180">
        <w:rPr>
          <w:rFonts w:ascii="Times New Roman" w:eastAsia="Songti TC" w:hAnsi="Times New Roman" w:cs="Times New Roman"/>
          <w:sz w:val="24"/>
          <w:lang w:val="en-GB"/>
        </w:rPr>
        <w:t xml:space="preserve">speak of. </w:t>
      </w:r>
      <w:r w:rsidR="005D4315" w:rsidRPr="00F22180">
        <w:rPr>
          <w:rFonts w:ascii="Times New Roman" w:eastAsia="Songti TC" w:hAnsi="Times New Roman" w:cs="Times New Roman"/>
          <w:sz w:val="24"/>
          <w:lang w:val="en-GB"/>
        </w:rPr>
        <w:t>Confucius (551-479 BCE)</w:t>
      </w:r>
      <w:r w:rsidR="00532248" w:rsidRPr="00F22180">
        <w:rPr>
          <w:rFonts w:ascii="Times New Roman" w:eastAsia="Songti TC" w:hAnsi="Times New Roman" w:cs="Times New Roman"/>
          <w:sz w:val="24"/>
          <w:lang w:val="en-GB"/>
        </w:rPr>
        <w:t xml:space="preserve"> and his followers believe that human beings are unequal by nature, so a hierarchical structure of politics and society is justified. </w:t>
      </w:r>
      <w:r w:rsidR="00FA37B8" w:rsidRPr="00F22180">
        <w:rPr>
          <w:rFonts w:ascii="Times New Roman" w:eastAsia="Songti TC" w:hAnsi="Times New Roman" w:cs="Times New Roman"/>
          <w:sz w:val="24"/>
          <w:lang w:val="en-GB"/>
        </w:rPr>
        <w:t xml:space="preserve">However, </w:t>
      </w:r>
      <w:r w:rsidR="00A8309B" w:rsidRPr="00F22180">
        <w:rPr>
          <w:rFonts w:ascii="Times New Roman" w:eastAsia="Songti TC" w:hAnsi="Times New Roman" w:cs="Times New Roman"/>
          <w:sz w:val="24"/>
          <w:lang w:val="en-GB"/>
        </w:rPr>
        <w:t>he leaves a space for equal opportunity of education by saying “In education there should be no class distinctions”</w:t>
      </w:r>
      <w:r w:rsidR="00A8309B" w:rsidRPr="00F22180">
        <w:rPr>
          <w:rStyle w:val="Funotenzeichen"/>
          <w:rFonts w:ascii="Times New Roman" w:eastAsia="Songti TC" w:hAnsi="Times New Roman" w:cs="Times New Roman"/>
          <w:sz w:val="24"/>
          <w:lang w:val="en-GB"/>
        </w:rPr>
        <w:footnoteReference w:id="2"/>
      </w:r>
      <w:r w:rsidR="00A8309B" w:rsidRPr="00F22180">
        <w:rPr>
          <w:rFonts w:ascii="Times New Roman" w:eastAsia="Songti TC" w:hAnsi="Times New Roman" w:cs="Times New Roman"/>
          <w:sz w:val="24"/>
          <w:lang w:val="en-GB"/>
        </w:rPr>
        <w:t xml:space="preserve"> ( “</w:t>
      </w:r>
      <w:r w:rsidR="00A8309B" w:rsidRPr="00F22180">
        <w:rPr>
          <w:rFonts w:ascii="Times New Roman" w:eastAsia="Songti TC" w:hAnsi="Times New Roman" w:cs="Times New Roman"/>
          <w:sz w:val="24"/>
          <w:lang w:val="en-GB"/>
        </w:rPr>
        <w:t>有教无类</w:t>
      </w:r>
      <w:r w:rsidR="00A8309B" w:rsidRPr="00F22180">
        <w:rPr>
          <w:rFonts w:ascii="Times New Roman" w:eastAsia="Songti TC" w:hAnsi="Times New Roman" w:cs="Times New Roman"/>
          <w:sz w:val="24"/>
        </w:rPr>
        <w:t>” )</w:t>
      </w:r>
      <w:r w:rsidR="001505B7" w:rsidRPr="00F22180">
        <w:rPr>
          <w:rFonts w:ascii="Times New Roman" w:eastAsia="Songti TC" w:hAnsi="Times New Roman" w:cs="Times New Roman"/>
          <w:sz w:val="24"/>
        </w:rPr>
        <w:t xml:space="preserve">. As </w:t>
      </w:r>
      <w:r w:rsidR="00342700" w:rsidRPr="00F22180">
        <w:rPr>
          <w:rFonts w:ascii="Times New Roman" w:eastAsia="Songti TC" w:hAnsi="Times New Roman" w:cs="Times New Roman"/>
          <w:sz w:val="24"/>
        </w:rPr>
        <w:t>Ping-ti Ho and others have shown, the imperial examination system indeed ha</w:t>
      </w:r>
      <w:r w:rsidR="00992015" w:rsidRPr="00F22180">
        <w:rPr>
          <w:rFonts w:ascii="Times New Roman" w:eastAsia="Songti TC" w:hAnsi="Times New Roman" w:cs="Times New Roman"/>
          <w:sz w:val="24"/>
        </w:rPr>
        <w:t>s</w:t>
      </w:r>
      <w:r w:rsidR="00342700" w:rsidRPr="00F22180">
        <w:rPr>
          <w:rFonts w:ascii="Times New Roman" w:eastAsia="Songti TC" w:hAnsi="Times New Roman" w:cs="Times New Roman"/>
          <w:sz w:val="24"/>
        </w:rPr>
        <w:t xml:space="preserve"> increased social mobility of many</w:t>
      </w:r>
      <w:r w:rsidR="00595C1E" w:rsidRPr="00F22180">
        <w:rPr>
          <w:rFonts w:ascii="Times New Roman" w:eastAsia="Songti TC" w:hAnsi="Times New Roman" w:cs="Times New Roman"/>
          <w:sz w:val="24"/>
        </w:rPr>
        <w:t xml:space="preserve"> </w:t>
      </w:r>
      <w:r w:rsidR="00342700" w:rsidRPr="00F22180">
        <w:rPr>
          <w:rFonts w:ascii="Times New Roman" w:eastAsia="Songti TC" w:hAnsi="Times New Roman" w:cs="Times New Roman"/>
          <w:sz w:val="24"/>
        </w:rPr>
        <w:t>talented</w:t>
      </w:r>
      <w:r w:rsidR="00992015" w:rsidRPr="00F22180">
        <w:rPr>
          <w:rFonts w:ascii="Times New Roman" w:eastAsia="Songti TC" w:hAnsi="Times New Roman" w:cs="Times New Roman"/>
          <w:sz w:val="24"/>
        </w:rPr>
        <w:t>,</w:t>
      </w:r>
      <w:r w:rsidR="00342700" w:rsidRPr="00F22180">
        <w:rPr>
          <w:rFonts w:ascii="Times New Roman" w:eastAsia="Songti TC" w:hAnsi="Times New Roman" w:cs="Times New Roman"/>
          <w:sz w:val="24"/>
        </w:rPr>
        <w:t xml:space="preserve"> </w:t>
      </w:r>
      <w:r w:rsidR="00595C1E" w:rsidRPr="00F22180">
        <w:rPr>
          <w:rFonts w:ascii="Times New Roman" w:eastAsia="Songti TC" w:hAnsi="Times New Roman" w:cs="Times New Roman"/>
          <w:sz w:val="24"/>
        </w:rPr>
        <w:t>but low</w:t>
      </w:r>
      <w:r w:rsidR="00E72D32" w:rsidRPr="00F22180">
        <w:rPr>
          <w:rFonts w:ascii="Times New Roman" w:eastAsia="Songti TC" w:hAnsi="Times New Roman" w:cs="Times New Roman"/>
          <w:sz w:val="24"/>
        </w:rPr>
        <w:t>-</w:t>
      </w:r>
      <w:r w:rsidR="00595C1E" w:rsidRPr="00F22180">
        <w:rPr>
          <w:rFonts w:ascii="Times New Roman" w:eastAsia="Songti TC" w:hAnsi="Times New Roman" w:cs="Times New Roman"/>
          <w:sz w:val="24"/>
        </w:rPr>
        <w:t xml:space="preserve">class origin, </w:t>
      </w:r>
      <w:r w:rsidR="00342700" w:rsidRPr="00F22180">
        <w:rPr>
          <w:rFonts w:ascii="Times New Roman" w:eastAsia="Songti TC" w:hAnsi="Times New Roman" w:cs="Times New Roman"/>
          <w:sz w:val="24"/>
        </w:rPr>
        <w:t xml:space="preserve">people, especially since </w:t>
      </w:r>
      <w:r w:rsidR="00E253C5" w:rsidRPr="00F22180">
        <w:rPr>
          <w:rFonts w:ascii="Times New Roman" w:eastAsia="Songti TC" w:hAnsi="Times New Roman" w:cs="Times New Roman"/>
          <w:sz w:val="24"/>
        </w:rPr>
        <w:t>the Song Dynasty (960-1279)</w:t>
      </w:r>
      <w:r w:rsidR="00992015" w:rsidRPr="00F22180">
        <w:rPr>
          <w:rStyle w:val="Funotenzeichen"/>
          <w:rFonts w:ascii="Times New Roman" w:eastAsia="Songti TC" w:hAnsi="Times New Roman" w:cs="Times New Roman"/>
          <w:sz w:val="24"/>
        </w:rPr>
        <w:footnoteReference w:id="3"/>
      </w:r>
      <w:r w:rsidR="00E253C5" w:rsidRPr="00F22180">
        <w:rPr>
          <w:rFonts w:ascii="Times New Roman" w:eastAsia="Songti TC" w:hAnsi="Times New Roman" w:cs="Times New Roman"/>
          <w:sz w:val="24"/>
        </w:rPr>
        <w:t>.</w:t>
      </w:r>
      <w:r w:rsidR="00992015" w:rsidRPr="00F22180">
        <w:rPr>
          <w:rFonts w:ascii="Times New Roman" w:eastAsia="Songti TC" w:hAnsi="Times New Roman" w:cs="Times New Roman"/>
          <w:sz w:val="24"/>
        </w:rPr>
        <w:t xml:space="preserve"> </w:t>
      </w:r>
      <w:r w:rsidR="00595C1E" w:rsidRPr="00F22180">
        <w:rPr>
          <w:rFonts w:ascii="Times New Roman" w:eastAsia="Songti TC" w:hAnsi="Times New Roman" w:cs="Times New Roman"/>
          <w:sz w:val="24"/>
        </w:rPr>
        <w:t>This is consistent with the famous Naito Hypothesis (</w:t>
      </w:r>
      <w:r w:rsidR="00595C1E" w:rsidRPr="00F22180">
        <w:rPr>
          <w:rFonts w:ascii="Times New Roman" w:eastAsia="Songti TC" w:hAnsi="Times New Roman" w:cs="Times New Roman"/>
          <w:sz w:val="24"/>
        </w:rPr>
        <w:t>内藤湖南假说</w:t>
      </w:r>
      <w:r w:rsidR="00595C1E" w:rsidRPr="00F22180">
        <w:rPr>
          <w:rFonts w:ascii="Times New Roman" w:eastAsia="Songti TC" w:hAnsi="Times New Roman" w:cs="Times New Roman"/>
          <w:sz w:val="24"/>
        </w:rPr>
        <w:t xml:space="preserve">) that </w:t>
      </w:r>
      <w:r w:rsidR="009F6CAE" w:rsidRPr="00F22180">
        <w:rPr>
          <w:rFonts w:ascii="Times New Roman" w:eastAsia="Songti TC" w:hAnsi="Times New Roman" w:cs="Times New Roman"/>
          <w:sz w:val="24"/>
        </w:rPr>
        <w:t xml:space="preserve">Chinese aristocracy has </w:t>
      </w:r>
      <w:r w:rsidR="00FF3D78" w:rsidRPr="00F22180">
        <w:rPr>
          <w:rFonts w:ascii="Times New Roman" w:eastAsia="Songti TC" w:hAnsi="Times New Roman" w:cs="Times New Roman"/>
          <w:sz w:val="24"/>
        </w:rPr>
        <w:t>permanently declined during the Tang-Song Transition</w:t>
      </w:r>
      <w:r w:rsidR="00FF3D78" w:rsidRPr="00F22180">
        <w:rPr>
          <w:rStyle w:val="Funotenzeichen"/>
          <w:rFonts w:ascii="Times New Roman" w:eastAsia="Songti TC" w:hAnsi="Times New Roman" w:cs="Times New Roman"/>
          <w:sz w:val="24"/>
        </w:rPr>
        <w:footnoteReference w:id="4"/>
      </w:r>
      <w:r w:rsidR="005969E3" w:rsidRPr="00F22180">
        <w:rPr>
          <w:rFonts w:ascii="Times New Roman" w:eastAsia="Songti TC" w:hAnsi="Times New Roman" w:cs="Times New Roman"/>
          <w:sz w:val="24"/>
        </w:rPr>
        <w:t xml:space="preserve">, thus the Chinese modernity (in the sense of “social equality” </w:t>
      </w:r>
      <w:r w:rsidR="00823AE0" w:rsidRPr="00F22180">
        <w:rPr>
          <w:rFonts w:ascii="Times New Roman" w:eastAsia="Songti TC" w:hAnsi="Times New Roman" w:cs="Times New Roman"/>
          <w:sz w:val="24"/>
        </w:rPr>
        <w:t xml:space="preserve">, </w:t>
      </w:r>
      <w:r w:rsidR="00E065DC" w:rsidRPr="00F22180">
        <w:rPr>
          <w:rFonts w:ascii="Times New Roman" w:eastAsia="Songti TC" w:hAnsi="Times New Roman" w:cs="Times New Roman"/>
          <w:sz w:val="24"/>
        </w:rPr>
        <w:t xml:space="preserve">that is, </w:t>
      </w:r>
      <w:r w:rsidR="00823AE0" w:rsidRPr="00F22180">
        <w:rPr>
          <w:rFonts w:ascii="Times New Roman" w:eastAsia="Songti TC" w:hAnsi="Times New Roman" w:cs="Times New Roman"/>
          <w:sz w:val="24"/>
        </w:rPr>
        <w:t>no legal barriers to hold office by birth distinctions</w:t>
      </w:r>
      <w:r w:rsidR="005969E3" w:rsidRPr="00F22180">
        <w:rPr>
          <w:rFonts w:ascii="Times New Roman" w:eastAsia="Songti TC" w:hAnsi="Times New Roman" w:cs="Times New Roman"/>
          <w:sz w:val="24"/>
        </w:rPr>
        <w:t>) began with the Song Dynasty</w:t>
      </w:r>
      <w:r w:rsidR="00E065DC" w:rsidRPr="00F22180">
        <w:rPr>
          <w:rFonts w:ascii="Times New Roman" w:eastAsia="Songti TC" w:hAnsi="Times New Roman" w:cs="Times New Roman"/>
          <w:sz w:val="24"/>
        </w:rPr>
        <w:t>.</w:t>
      </w:r>
    </w:p>
    <w:p w14:paraId="1D208F60" w14:textId="1D4DBBBE" w:rsidR="00A2559E" w:rsidRPr="00F22180" w:rsidRDefault="00A7351E" w:rsidP="00F22180">
      <w:pPr>
        <w:spacing w:before="120" w:after="120"/>
        <w:rPr>
          <w:rFonts w:ascii="Times New Roman" w:eastAsia="Songti TC" w:hAnsi="Times New Roman" w:cs="Times New Roman"/>
          <w:sz w:val="24"/>
          <w:lang w:val="en-GB"/>
        </w:rPr>
      </w:pPr>
      <w:r w:rsidRPr="00F22180">
        <w:rPr>
          <w:rFonts w:ascii="Times New Roman" w:eastAsia="Songti TC" w:hAnsi="Times New Roman" w:cs="Times New Roman"/>
          <w:sz w:val="24"/>
        </w:rPr>
        <w:t xml:space="preserve">Another example which illustrates the usefulness of </w:t>
      </w:r>
      <w:r w:rsidRPr="00F22180">
        <w:rPr>
          <w:rFonts w:ascii="Times New Roman" w:eastAsia="Songti TC" w:hAnsi="Times New Roman" w:cs="Times New Roman"/>
          <w:sz w:val="24"/>
          <w:lang w:val="en-GB"/>
        </w:rPr>
        <w:t>Tocqueville’s distinction between “social equality” and “political equality” is the difference of surnames in China and Europe. According to the British historian Gregory Clark,</w:t>
      </w:r>
    </w:p>
    <w:p w14:paraId="4225D6C6" w14:textId="41371367" w:rsidR="00FD1AEA" w:rsidRPr="00F22180" w:rsidRDefault="00FD1AEA" w:rsidP="00F22180">
      <w:pPr>
        <w:spacing w:before="120" w:after="120"/>
        <w:rPr>
          <w:rFonts w:ascii="Times New Roman" w:eastAsia="Songti TC" w:hAnsi="Times New Roman" w:cs="Times New Roman"/>
          <w:sz w:val="24"/>
          <w:lang w:val="en-GB"/>
        </w:rPr>
      </w:pPr>
      <w:r w:rsidRPr="00F22180">
        <w:rPr>
          <w:rFonts w:ascii="Times New Roman" w:eastAsia="Songti TC" w:hAnsi="Times New Roman" w:cs="Times New Roman"/>
          <w:sz w:val="24"/>
          <w:lang w:val="en-GB"/>
        </w:rPr>
        <w:lastRenderedPageBreak/>
        <w:t>“The problem with measuring social mobility in China using surname distributions is that the Chinese have few surnames, and these surnames have been employed for millennia. There are estimated to be only about four thousand surnames in use among Han Chinese. The hundred most common Chinese surnames are held by nearly 85 percent of the population, with the three most common Chinese surnames, Wang (</w:t>
      </w:r>
      <w:r w:rsidRPr="00F22180">
        <w:rPr>
          <w:rFonts w:ascii="Times New Roman" w:eastAsia="Songti TC" w:hAnsi="Times New Roman" w:cs="Times New Roman"/>
          <w:sz w:val="24"/>
        </w:rPr>
        <w:t>王</w:t>
      </w:r>
      <w:r w:rsidRPr="00F22180">
        <w:rPr>
          <w:rFonts w:ascii="Times New Roman" w:eastAsia="Songti TC" w:hAnsi="Times New Roman" w:cs="Times New Roman"/>
          <w:sz w:val="24"/>
        </w:rPr>
        <w:t xml:space="preserve">), </w:t>
      </w:r>
      <w:r w:rsidRPr="00F22180">
        <w:rPr>
          <w:rFonts w:ascii="Times New Roman" w:eastAsia="Songti TC" w:hAnsi="Times New Roman" w:cs="Times New Roman"/>
          <w:sz w:val="24"/>
          <w:lang w:val="en-GB"/>
        </w:rPr>
        <w:t>Li (</w:t>
      </w:r>
      <w:r w:rsidRPr="00F22180">
        <w:rPr>
          <w:rFonts w:ascii="Times New Roman" w:eastAsia="Songti TC" w:hAnsi="Times New Roman" w:cs="Times New Roman"/>
          <w:sz w:val="24"/>
        </w:rPr>
        <w:t>李</w:t>
      </w:r>
      <w:r w:rsidRPr="00F22180">
        <w:rPr>
          <w:rFonts w:ascii="Times New Roman" w:eastAsia="Songti TC" w:hAnsi="Times New Roman" w:cs="Times New Roman"/>
          <w:sz w:val="24"/>
        </w:rPr>
        <w:t xml:space="preserve">), </w:t>
      </w:r>
      <w:r w:rsidRPr="00F22180">
        <w:rPr>
          <w:rFonts w:ascii="Times New Roman" w:eastAsia="Songti TC" w:hAnsi="Times New Roman" w:cs="Times New Roman"/>
          <w:sz w:val="24"/>
          <w:lang w:val="en-GB"/>
        </w:rPr>
        <w:t>and Zhang (</w:t>
      </w:r>
      <w:r w:rsidRPr="00F22180">
        <w:rPr>
          <w:rFonts w:ascii="Times New Roman" w:eastAsia="Songti TC" w:hAnsi="Times New Roman" w:cs="Times New Roman"/>
          <w:sz w:val="24"/>
        </w:rPr>
        <w:t>張</w:t>
      </w:r>
      <w:r w:rsidRPr="00F22180">
        <w:rPr>
          <w:rFonts w:ascii="Times New Roman" w:eastAsia="Songti TC" w:hAnsi="Times New Roman" w:cs="Times New Roman"/>
          <w:sz w:val="24"/>
        </w:rPr>
        <w:t xml:space="preserve">), </w:t>
      </w:r>
      <w:r w:rsidRPr="00F22180">
        <w:rPr>
          <w:rFonts w:ascii="Times New Roman" w:eastAsia="Songti TC" w:hAnsi="Times New Roman" w:cs="Times New Roman"/>
          <w:sz w:val="24"/>
          <w:lang w:val="en-GB"/>
        </w:rPr>
        <w:t>held by more than 270 million people (21 percent of the population)</w:t>
      </w:r>
      <w:r w:rsidR="00BF20F1" w:rsidRPr="00F22180">
        <w:rPr>
          <w:rFonts w:ascii="Times New Roman" w:eastAsia="Songti TC" w:hAnsi="Times New Roman" w:cs="Times New Roman"/>
          <w:sz w:val="24"/>
          <w:lang w:val="en-GB"/>
        </w:rPr>
        <w:t>…</w:t>
      </w:r>
      <w:r w:rsidRPr="00F22180">
        <w:rPr>
          <w:rFonts w:ascii="Times New Roman" w:eastAsia="Songti TC" w:hAnsi="Times New Roman" w:cs="Times New Roman"/>
          <w:sz w:val="24"/>
          <w:lang w:val="en-GB"/>
        </w:rPr>
        <w:t>In England and Wales, by contrast, in 2002 there were 270,000 surnames shared by five or more people. Because almost all Chinese surnames are so common, they typically carry little information on the social status of their holders.”</w:t>
      </w:r>
      <w:r w:rsidR="00D40A6E" w:rsidRPr="00F22180">
        <w:rPr>
          <w:rStyle w:val="Funotenzeichen"/>
          <w:rFonts w:ascii="Times New Roman" w:eastAsia="Songti TC" w:hAnsi="Times New Roman" w:cs="Times New Roman"/>
          <w:sz w:val="24"/>
          <w:lang w:val="en-GB"/>
        </w:rPr>
        <w:footnoteReference w:id="5"/>
      </w:r>
    </w:p>
    <w:p w14:paraId="541F23C7" w14:textId="6C5CE0EE" w:rsidR="002130F1" w:rsidRPr="00F22180" w:rsidRDefault="002130F1" w:rsidP="00F22180">
      <w:pPr>
        <w:spacing w:before="120" w:after="120"/>
        <w:rPr>
          <w:rFonts w:ascii="Times New Roman" w:eastAsia="Songti TC" w:hAnsi="Times New Roman" w:cs="Times New Roman"/>
          <w:sz w:val="24"/>
          <w:lang w:val="en-GB"/>
        </w:rPr>
      </w:pPr>
      <w:r w:rsidRPr="00F22180">
        <w:rPr>
          <w:rFonts w:ascii="Times New Roman" w:eastAsia="Songti TC" w:hAnsi="Times New Roman" w:cs="Times New Roman"/>
          <w:sz w:val="24"/>
          <w:lang w:val="en-GB"/>
        </w:rPr>
        <w:t xml:space="preserve">This </w:t>
      </w:r>
      <w:r w:rsidR="000E4049" w:rsidRPr="00F22180">
        <w:rPr>
          <w:rFonts w:ascii="Times New Roman" w:eastAsia="Songti TC" w:hAnsi="Times New Roman" w:cs="Times New Roman"/>
          <w:sz w:val="24"/>
          <w:lang w:val="en-GB"/>
        </w:rPr>
        <w:t>much higher isonymy in China, by itself, does not immediately demonstrats that there is more “social equality” in China than in Europe. Since it may be the case that “</w:t>
      </w:r>
      <w:r w:rsidR="000B5EC9" w:rsidRPr="00F22180">
        <w:rPr>
          <w:rFonts w:ascii="Times New Roman" w:eastAsia="Songti TC" w:hAnsi="Times New Roman" w:cs="Times New Roman"/>
          <w:sz w:val="24"/>
          <w:lang w:val="en-GB"/>
        </w:rPr>
        <w:t>the small number of surnames is related to the small number of the Chinese characters in the Chinese language; Chinese surnames often consist of a single Chinese character, and only several thousand Chinese characters are commonly used</w:t>
      </w:r>
      <w:r w:rsidR="007F307A" w:rsidRPr="00F22180">
        <w:rPr>
          <w:rFonts w:ascii="Times New Roman" w:eastAsia="Songti TC" w:hAnsi="Times New Roman" w:cs="Times New Roman"/>
          <w:sz w:val="24"/>
          <w:lang w:val="en-GB"/>
        </w:rPr>
        <w:t>”</w:t>
      </w:r>
      <w:r w:rsidR="007F307A" w:rsidRPr="00F22180">
        <w:rPr>
          <w:rStyle w:val="Funotenzeichen"/>
          <w:rFonts w:ascii="Times New Roman" w:eastAsia="Songti TC" w:hAnsi="Times New Roman" w:cs="Times New Roman"/>
          <w:sz w:val="24"/>
          <w:lang w:val="en-GB"/>
        </w:rPr>
        <w:footnoteReference w:id="6"/>
      </w:r>
      <w:r w:rsidR="000B5EC9" w:rsidRPr="00F22180">
        <w:rPr>
          <w:rFonts w:ascii="Times New Roman" w:eastAsia="Songti TC" w:hAnsi="Times New Roman" w:cs="Times New Roman"/>
          <w:sz w:val="24"/>
          <w:lang w:val="en-GB"/>
        </w:rPr>
        <w:t xml:space="preserve">. </w:t>
      </w:r>
      <w:r w:rsidR="008874EF" w:rsidRPr="00F22180">
        <w:rPr>
          <w:rFonts w:ascii="Times New Roman" w:eastAsia="Songti TC" w:hAnsi="Times New Roman" w:cs="Times New Roman"/>
          <w:sz w:val="24"/>
          <w:lang w:val="en-GB"/>
        </w:rPr>
        <w:t xml:space="preserve">However, </w:t>
      </w:r>
      <w:r w:rsidR="00F30723" w:rsidRPr="00F22180">
        <w:rPr>
          <w:rFonts w:ascii="Times New Roman" w:eastAsia="Songti TC" w:hAnsi="Times New Roman" w:cs="Times New Roman"/>
          <w:sz w:val="24"/>
          <w:lang w:val="en-GB"/>
        </w:rPr>
        <w:t xml:space="preserve">more important </w:t>
      </w:r>
      <w:r w:rsidR="00CA4DE5" w:rsidRPr="00F22180">
        <w:rPr>
          <w:rFonts w:ascii="Times New Roman" w:eastAsia="Songti TC" w:hAnsi="Times New Roman" w:cs="Times New Roman"/>
          <w:sz w:val="24"/>
          <w:lang w:val="en-GB"/>
        </w:rPr>
        <w:t xml:space="preserve">thing for our understanding of “social equality” </w:t>
      </w:r>
      <w:r w:rsidR="00F30723" w:rsidRPr="00F22180">
        <w:rPr>
          <w:rFonts w:ascii="Times New Roman" w:eastAsia="Songti TC" w:hAnsi="Times New Roman" w:cs="Times New Roman"/>
          <w:sz w:val="24"/>
          <w:lang w:val="en-GB"/>
        </w:rPr>
        <w:t xml:space="preserve">is the fact that many Chinese surnames have more than 4000 years history. </w:t>
      </w:r>
      <w:r w:rsidR="00260B3A" w:rsidRPr="00F22180">
        <w:rPr>
          <w:rFonts w:ascii="Times New Roman" w:eastAsia="Songti TC" w:hAnsi="Times New Roman" w:cs="Times New Roman"/>
          <w:sz w:val="24"/>
          <w:lang w:val="en-GB"/>
        </w:rPr>
        <w:t>Today, 97 of the 100 most common surnames in China originated in the Spring and Autum</w:t>
      </w:r>
      <w:r w:rsidR="00B06BAB" w:rsidRPr="00F22180">
        <w:rPr>
          <w:rFonts w:ascii="Times New Roman" w:eastAsia="Songti TC" w:hAnsi="Times New Roman" w:cs="Times New Roman"/>
          <w:sz w:val="24"/>
          <w:lang w:val="en-GB"/>
        </w:rPr>
        <w:t>n</w:t>
      </w:r>
      <w:r w:rsidR="00260B3A" w:rsidRPr="00F22180">
        <w:rPr>
          <w:rFonts w:ascii="Times New Roman" w:eastAsia="Songti TC" w:hAnsi="Times New Roman" w:cs="Times New Roman"/>
          <w:sz w:val="24"/>
          <w:lang w:val="en-GB"/>
        </w:rPr>
        <w:t xml:space="preserve"> Period (476-221 BCE)</w:t>
      </w:r>
      <w:r w:rsidR="00740D03" w:rsidRPr="00F22180">
        <w:rPr>
          <w:rStyle w:val="Funotenzeichen"/>
          <w:rFonts w:ascii="Times New Roman" w:eastAsia="Songti TC" w:hAnsi="Times New Roman" w:cs="Times New Roman"/>
          <w:sz w:val="24"/>
          <w:lang w:val="en-GB"/>
        </w:rPr>
        <w:footnoteReference w:id="7"/>
      </w:r>
      <w:r w:rsidR="00260B3A" w:rsidRPr="00F22180">
        <w:rPr>
          <w:rFonts w:ascii="Times New Roman" w:eastAsia="Songti TC" w:hAnsi="Times New Roman" w:cs="Times New Roman"/>
          <w:sz w:val="24"/>
          <w:lang w:val="en-GB"/>
        </w:rPr>
        <w:t xml:space="preserve">. </w:t>
      </w:r>
      <w:r w:rsidR="00A04E5C" w:rsidRPr="00F22180">
        <w:rPr>
          <w:rFonts w:ascii="Times New Roman" w:eastAsia="Songti TC" w:hAnsi="Times New Roman" w:cs="Times New Roman"/>
          <w:sz w:val="24"/>
          <w:lang w:val="en-GB"/>
        </w:rPr>
        <w:t xml:space="preserve">As Gu Yanwu (1613-1682) emphasizes in his famous “Record of Daily Knowledge” ( </w:t>
      </w:r>
      <w:r w:rsidR="00A04E5C" w:rsidRPr="00F22180">
        <w:rPr>
          <w:rFonts w:ascii="Times New Roman" w:eastAsia="Songti TC" w:hAnsi="Times New Roman" w:cs="Times New Roman"/>
          <w:sz w:val="24"/>
        </w:rPr>
        <w:t>“</w:t>
      </w:r>
      <w:r w:rsidR="00A04E5C" w:rsidRPr="00F22180">
        <w:rPr>
          <w:rFonts w:ascii="Times New Roman" w:eastAsia="Songti TC" w:hAnsi="Times New Roman" w:cs="Times New Roman"/>
          <w:sz w:val="24"/>
        </w:rPr>
        <w:t>日知录</w:t>
      </w:r>
      <w:r w:rsidR="00A04E5C" w:rsidRPr="00F22180">
        <w:rPr>
          <w:rFonts w:ascii="Times New Roman" w:eastAsia="Songti TC" w:hAnsi="Times New Roman" w:cs="Times New Roman"/>
          <w:sz w:val="24"/>
        </w:rPr>
        <w:t>” )</w:t>
      </w:r>
      <w:r w:rsidR="007752B8" w:rsidRPr="00F22180">
        <w:rPr>
          <w:rFonts w:ascii="Times New Roman" w:eastAsia="Songti TC" w:hAnsi="Times New Roman" w:cs="Times New Roman"/>
          <w:sz w:val="24"/>
        </w:rPr>
        <w:t>，</w:t>
      </w:r>
      <w:r w:rsidR="007752B8" w:rsidRPr="00F22180">
        <w:rPr>
          <w:rFonts w:ascii="Times New Roman" w:eastAsia="Songti TC" w:hAnsi="Times New Roman" w:cs="Times New Roman"/>
          <w:sz w:val="24"/>
        </w:rPr>
        <w:t xml:space="preserve"> Chinese </w:t>
      </w:r>
      <w:r w:rsidR="00071AF3" w:rsidRPr="00F22180">
        <w:rPr>
          <w:rFonts w:ascii="Times New Roman" w:eastAsia="Songti TC" w:hAnsi="Times New Roman" w:cs="Times New Roman"/>
          <w:sz w:val="24"/>
        </w:rPr>
        <w:t xml:space="preserve">started to use </w:t>
      </w:r>
      <w:r w:rsidR="007752B8" w:rsidRPr="00F22180">
        <w:rPr>
          <w:rFonts w:ascii="Times New Roman" w:eastAsia="Songti TC" w:hAnsi="Times New Roman" w:cs="Times New Roman"/>
          <w:sz w:val="24"/>
        </w:rPr>
        <w:t xml:space="preserve">surnames </w:t>
      </w:r>
      <w:r w:rsidR="00617FA6" w:rsidRPr="00F22180">
        <w:rPr>
          <w:rFonts w:ascii="Times New Roman" w:eastAsia="Songti TC" w:hAnsi="Times New Roman" w:cs="Times New Roman"/>
          <w:sz w:val="24"/>
        </w:rPr>
        <w:t xml:space="preserve">for aristocracy </w:t>
      </w:r>
      <w:r w:rsidR="00071AF3" w:rsidRPr="00F22180">
        <w:rPr>
          <w:rFonts w:ascii="Times New Roman" w:eastAsia="Songti TC" w:hAnsi="Times New Roman" w:cs="Times New Roman"/>
          <w:sz w:val="24"/>
        </w:rPr>
        <w:t xml:space="preserve">as early as </w:t>
      </w:r>
      <w:r w:rsidR="007752B8" w:rsidRPr="00F22180">
        <w:rPr>
          <w:rFonts w:ascii="Times New Roman" w:eastAsia="Songti TC" w:hAnsi="Times New Roman" w:cs="Times New Roman"/>
          <w:sz w:val="24"/>
        </w:rPr>
        <w:t>the period of Five Emperors</w:t>
      </w:r>
      <w:r w:rsidR="00C45B41" w:rsidRPr="00F22180">
        <w:rPr>
          <w:rFonts w:ascii="Times New Roman" w:eastAsia="Songti TC" w:hAnsi="Times New Roman" w:cs="Times New Roman"/>
          <w:sz w:val="24"/>
        </w:rPr>
        <w:t xml:space="preserve"> ( from 2697 to 2597 BCE )</w:t>
      </w:r>
      <w:r w:rsidR="00BA42D7" w:rsidRPr="00F22180">
        <w:rPr>
          <w:rStyle w:val="Funotenzeichen"/>
          <w:rFonts w:ascii="Times New Roman" w:eastAsia="Songti TC" w:hAnsi="Times New Roman" w:cs="Times New Roman"/>
          <w:sz w:val="24"/>
        </w:rPr>
        <w:footnoteReference w:id="8"/>
      </w:r>
      <w:r w:rsidR="00071AF3" w:rsidRPr="00F22180">
        <w:rPr>
          <w:rFonts w:ascii="Times New Roman" w:eastAsia="Songti TC" w:hAnsi="Times New Roman" w:cs="Times New Roman"/>
          <w:sz w:val="24"/>
        </w:rPr>
        <w:t xml:space="preserve">. </w:t>
      </w:r>
      <w:r w:rsidR="00617FA6" w:rsidRPr="00F22180">
        <w:rPr>
          <w:rFonts w:ascii="Times New Roman" w:eastAsia="Songti TC" w:hAnsi="Times New Roman" w:cs="Times New Roman"/>
          <w:sz w:val="24"/>
        </w:rPr>
        <w:t>After surname (</w:t>
      </w:r>
      <w:r w:rsidR="00617FA6" w:rsidRPr="00F22180">
        <w:rPr>
          <w:rFonts w:ascii="Times New Roman" w:eastAsia="Songti TC" w:hAnsi="Times New Roman" w:cs="Times New Roman"/>
          <w:sz w:val="24"/>
        </w:rPr>
        <w:t>姓</w:t>
      </w:r>
      <w:r w:rsidR="00617FA6" w:rsidRPr="00F22180">
        <w:rPr>
          <w:rFonts w:ascii="Times New Roman" w:eastAsia="Songti TC" w:hAnsi="Times New Roman" w:cs="Times New Roman"/>
          <w:sz w:val="24"/>
        </w:rPr>
        <w:t>)and clan name(</w:t>
      </w:r>
      <w:r w:rsidR="00617FA6" w:rsidRPr="00F22180">
        <w:rPr>
          <w:rFonts w:ascii="Times New Roman" w:eastAsia="Songti TC" w:hAnsi="Times New Roman" w:cs="Times New Roman"/>
          <w:sz w:val="24"/>
        </w:rPr>
        <w:t>氏</w:t>
      </w:r>
      <w:r w:rsidR="00617FA6" w:rsidRPr="00F22180">
        <w:rPr>
          <w:rFonts w:ascii="Times New Roman" w:eastAsia="Songti TC" w:hAnsi="Times New Roman" w:cs="Times New Roman"/>
          <w:sz w:val="24"/>
        </w:rPr>
        <w:t>) were merge</w:t>
      </w:r>
      <w:r w:rsidR="00D6302F" w:rsidRPr="00F22180">
        <w:rPr>
          <w:rFonts w:ascii="Times New Roman" w:eastAsia="Songti TC" w:hAnsi="Times New Roman" w:cs="Times New Roman"/>
          <w:sz w:val="24"/>
        </w:rPr>
        <w:t>d</w:t>
      </w:r>
      <w:r w:rsidR="00617FA6" w:rsidRPr="00F22180">
        <w:rPr>
          <w:rFonts w:ascii="Times New Roman" w:eastAsia="Songti TC" w:hAnsi="Times New Roman" w:cs="Times New Roman"/>
          <w:sz w:val="24"/>
        </w:rPr>
        <w:t xml:space="preserve"> into one in Han Dynasty (</w:t>
      </w:r>
      <w:r w:rsidR="00121838" w:rsidRPr="00F22180">
        <w:rPr>
          <w:rFonts w:ascii="Times New Roman" w:eastAsia="Songti TC" w:hAnsi="Times New Roman" w:cs="Times New Roman"/>
          <w:sz w:val="24"/>
        </w:rPr>
        <w:t>from 202 BCE to 220 AD)</w:t>
      </w:r>
      <w:r w:rsidR="00617FA6" w:rsidRPr="00F22180">
        <w:rPr>
          <w:rFonts w:ascii="Times New Roman" w:eastAsia="Songti TC" w:hAnsi="Times New Roman" w:cs="Times New Roman"/>
          <w:sz w:val="24"/>
        </w:rPr>
        <w:t xml:space="preserve">, </w:t>
      </w:r>
      <w:r w:rsidR="00D6302F" w:rsidRPr="00F22180">
        <w:rPr>
          <w:rFonts w:ascii="Times New Roman" w:eastAsia="Songti TC" w:hAnsi="Times New Roman" w:cs="Times New Roman"/>
          <w:sz w:val="24"/>
        </w:rPr>
        <w:t xml:space="preserve">most </w:t>
      </w:r>
      <w:r w:rsidR="00617FA6" w:rsidRPr="00F22180">
        <w:rPr>
          <w:rFonts w:ascii="Times New Roman" w:eastAsia="Songti TC" w:hAnsi="Times New Roman" w:cs="Times New Roman"/>
          <w:sz w:val="24"/>
        </w:rPr>
        <w:t xml:space="preserve">Chinese commoners have their surnames as well.  </w:t>
      </w:r>
      <w:r w:rsidR="00071AF3" w:rsidRPr="00F22180">
        <w:rPr>
          <w:rFonts w:ascii="Times New Roman" w:eastAsia="Songti TC" w:hAnsi="Times New Roman" w:cs="Times New Roman"/>
          <w:sz w:val="24"/>
        </w:rPr>
        <w:t xml:space="preserve">In sharp contrast, </w:t>
      </w:r>
      <w:r w:rsidR="00FB45A4" w:rsidRPr="00F22180">
        <w:rPr>
          <w:rFonts w:ascii="Times New Roman" w:eastAsia="Songti TC" w:hAnsi="Times New Roman" w:cs="Times New Roman"/>
          <w:sz w:val="24"/>
        </w:rPr>
        <w:t xml:space="preserve">England only started to use surnames after the Norman </w:t>
      </w:r>
      <w:r w:rsidR="009A57E1" w:rsidRPr="00F22180">
        <w:rPr>
          <w:rFonts w:ascii="Times New Roman" w:eastAsia="Songti TC" w:hAnsi="Times New Roman" w:cs="Times New Roman"/>
          <w:sz w:val="24"/>
        </w:rPr>
        <w:t>Conquest (</w:t>
      </w:r>
      <w:r w:rsidR="00E06A64" w:rsidRPr="00F22180">
        <w:rPr>
          <w:rFonts w:ascii="Times New Roman" w:eastAsia="Songti TC" w:hAnsi="Times New Roman" w:cs="Times New Roman"/>
          <w:sz w:val="24"/>
        </w:rPr>
        <w:t>1066)</w:t>
      </w:r>
      <w:r w:rsidR="000C7A97" w:rsidRPr="00F22180">
        <w:rPr>
          <w:rFonts w:ascii="Times New Roman" w:eastAsia="Songti TC" w:hAnsi="Times New Roman" w:cs="Times New Roman"/>
          <w:sz w:val="24"/>
        </w:rPr>
        <w:t>. For non-aristocratic commoner</w:t>
      </w:r>
      <w:r w:rsidR="00765533" w:rsidRPr="00F22180">
        <w:rPr>
          <w:rFonts w:ascii="Times New Roman" w:eastAsia="Songti TC" w:hAnsi="Times New Roman" w:cs="Times New Roman"/>
          <w:sz w:val="24"/>
        </w:rPr>
        <w:t>s</w:t>
      </w:r>
      <w:r w:rsidR="000C7A97" w:rsidRPr="00F22180">
        <w:rPr>
          <w:rFonts w:ascii="Times New Roman" w:eastAsia="Songti TC" w:hAnsi="Times New Roman" w:cs="Times New Roman"/>
          <w:sz w:val="24"/>
        </w:rPr>
        <w:t>, the surnames c</w:t>
      </w:r>
      <w:r w:rsidR="00D6302F" w:rsidRPr="00F22180">
        <w:rPr>
          <w:rFonts w:ascii="Times New Roman" w:eastAsia="Songti TC" w:hAnsi="Times New Roman" w:cs="Times New Roman"/>
          <w:sz w:val="24"/>
        </w:rPr>
        <w:t>ame</w:t>
      </w:r>
      <w:r w:rsidR="000C7A97" w:rsidRPr="00F22180">
        <w:rPr>
          <w:rFonts w:ascii="Times New Roman" w:eastAsia="Songti TC" w:hAnsi="Times New Roman" w:cs="Times New Roman"/>
          <w:sz w:val="24"/>
        </w:rPr>
        <w:t xml:space="preserve"> even later</w:t>
      </w:r>
      <w:r w:rsidR="004A52B6" w:rsidRPr="00F22180">
        <w:rPr>
          <w:rStyle w:val="Funotenzeichen"/>
          <w:rFonts w:ascii="Times New Roman" w:eastAsia="Songti TC" w:hAnsi="Times New Roman" w:cs="Times New Roman"/>
          <w:sz w:val="24"/>
        </w:rPr>
        <w:footnoteReference w:id="9"/>
      </w:r>
      <w:r w:rsidR="0042769B" w:rsidRPr="00F22180">
        <w:rPr>
          <w:rFonts w:ascii="Times New Roman" w:eastAsia="Songti TC" w:hAnsi="Times New Roman" w:cs="Times New Roman"/>
          <w:sz w:val="24"/>
        </w:rPr>
        <w:t>.</w:t>
      </w:r>
      <w:r w:rsidR="00260B3A" w:rsidRPr="00F22180">
        <w:rPr>
          <w:rFonts w:ascii="Times New Roman" w:eastAsia="Songti TC" w:hAnsi="Times New Roman" w:cs="Times New Roman"/>
          <w:sz w:val="24"/>
        </w:rPr>
        <w:t xml:space="preserve"> </w:t>
      </w:r>
      <w:r w:rsidR="00151224" w:rsidRPr="00F22180">
        <w:rPr>
          <w:rFonts w:ascii="Times New Roman" w:eastAsia="Songti TC" w:hAnsi="Times New Roman" w:cs="Times New Roman"/>
          <w:sz w:val="24"/>
        </w:rPr>
        <w:t xml:space="preserve">It is in this sense of use of surnames by the commoners, not the high isonymy per se, that we can say, without too much distortion of </w:t>
      </w:r>
      <w:r w:rsidR="00151224" w:rsidRPr="00F22180">
        <w:rPr>
          <w:rFonts w:ascii="Times New Roman" w:eastAsia="Songti TC" w:hAnsi="Times New Roman" w:cs="Times New Roman"/>
          <w:sz w:val="24"/>
          <w:lang w:val="en-GB"/>
        </w:rPr>
        <w:t>Tocqueville’s original intention,</w:t>
      </w:r>
      <w:r w:rsidR="009E4719" w:rsidRPr="00F22180">
        <w:rPr>
          <w:rFonts w:ascii="Times New Roman" w:eastAsia="Songti TC" w:hAnsi="Times New Roman" w:cs="Times New Roman"/>
          <w:sz w:val="24"/>
          <w:lang w:val="en-GB"/>
        </w:rPr>
        <w:t xml:space="preserve"> China had some kind of “social equality” in </w:t>
      </w:r>
      <w:r w:rsidR="00670BBC" w:rsidRPr="00F22180">
        <w:rPr>
          <w:rFonts w:ascii="Times New Roman" w:eastAsia="Songti TC" w:hAnsi="Times New Roman" w:cs="Times New Roman"/>
          <w:sz w:val="24"/>
          <w:lang w:val="en-GB"/>
        </w:rPr>
        <w:t>its</w:t>
      </w:r>
      <w:r w:rsidR="009E4719" w:rsidRPr="00F22180">
        <w:rPr>
          <w:rFonts w:ascii="Times New Roman" w:eastAsia="Songti TC" w:hAnsi="Times New Roman" w:cs="Times New Roman"/>
          <w:sz w:val="24"/>
          <w:lang w:val="en-GB"/>
        </w:rPr>
        <w:t xml:space="preserve"> long history</w:t>
      </w:r>
      <w:r w:rsidR="001E6D0C" w:rsidRPr="00F22180">
        <w:rPr>
          <w:rFonts w:ascii="Times New Roman" w:eastAsia="Songti TC" w:hAnsi="Times New Roman" w:cs="Times New Roman"/>
          <w:sz w:val="24"/>
          <w:lang w:val="en-GB"/>
        </w:rPr>
        <w:t>, because the aristo</w:t>
      </w:r>
      <w:r w:rsidR="00B525CE" w:rsidRPr="00F22180">
        <w:rPr>
          <w:rFonts w:ascii="Times New Roman" w:eastAsia="Songti TC" w:hAnsi="Times New Roman" w:cs="Times New Roman"/>
          <w:sz w:val="24"/>
          <w:lang w:val="en-GB"/>
        </w:rPr>
        <w:t>cracy declined relatively earlier in China, in comparison to Europe</w:t>
      </w:r>
      <w:r w:rsidR="009E4719" w:rsidRPr="00F22180">
        <w:rPr>
          <w:rFonts w:ascii="Times New Roman" w:eastAsia="Songti TC" w:hAnsi="Times New Roman" w:cs="Times New Roman"/>
          <w:sz w:val="24"/>
          <w:lang w:val="en-GB"/>
        </w:rPr>
        <w:t>.</w:t>
      </w:r>
    </w:p>
    <w:p w14:paraId="422DEA72" w14:textId="574504FD" w:rsidR="00A03A35" w:rsidRPr="00F22180" w:rsidRDefault="00A03A35" w:rsidP="00F22180">
      <w:pPr>
        <w:spacing w:before="120" w:after="120"/>
        <w:rPr>
          <w:rFonts w:ascii="Times New Roman" w:eastAsia="Songti TC" w:hAnsi="Times New Roman" w:cs="Times New Roman"/>
          <w:sz w:val="24"/>
          <w:lang w:val="en-GB"/>
        </w:rPr>
      </w:pPr>
      <w:r w:rsidRPr="00F22180">
        <w:rPr>
          <w:rFonts w:ascii="Times New Roman" w:eastAsia="Songti TC" w:hAnsi="Times New Roman" w:cs="Times New Roman"/>
          <w:sz w:val="24"/>
          <w:lang w:val="en-GB"/>
        </w:rPr>
        <w:t xml:space="preserve">Tocqueville’s distinction between “social equality” and “political equality” can also shed light on the modern China. </w:t>
      </w:r>
      <w:r w:rsidR="00C9460A" w:rsidRPr="00F22180">
        <w:rPr>
          <w:rFonts w:ascii="Times New Roman" w:eastAsia="Songti TC" w:hAnsi="Times New Roman" w:cs="Times New Roman"/>
          <w:sz w:val="24"/>
          <w:lang w:val="en-GB"/>
        </w:rPr>
        <w:t xml:space="preserve">According to the </w:t>
      </w:r>
      <w:r w:rsidR="000F0A06" w:rsidRPr="00F22180">
        <w:rPr>
          <w:rFonts w:ascii="Times New Roman" w:eastAsia="Songti TC" w:hAnsi="Times New Roman" w:cs="Times New Roman"/>
          <w:sz w:val="24"/>
          <w:lang w:val="en-GB"/>
        </w:rPr>
        <w:t xml:space="preserve">eminent </w:t>
      </w:r>
      <w:r w:rsidR="00C9460A" w:rsidRPr="00F22180">
        <w:rPr>
          <w:rFonts w:ascii="Times New Roman" w:eastAsia="Songti TC" w:hAnsi="Times New Roman" w:cs="Times New Roman"/>
          <w:sz w:val="24"/>
          <w:lang w:val="en-GB"/>
        </w:rPr>
        <w:t>Chinese</w:t>
      </w:r>
      <w:r w:rsidR="000F0A06" w:rsidRPr="00F22180">
        <w:rPr>
          <w:rFonts w:ascii="Times New Roman" w:eastAsia="Songti TC" w:hAnsi="Times New Roman" w:cs="Times New Roman"/>
          <w:sz w:val="24"/>
          <w:lang w:val="en-GB"/>
        </w:rPr>
        <w:t>-American</w:t>
      </w:r>
      <w:r w:rsidR="00C9460A" w:rsidRPr="00F22180">
        <w:rPr>
          <w:rFonts w:ascii="Times New Roman" w:eastAsia="Songti TC" w:hAnsi="Times New Roman" w:cs="Times New Roman"/>
          <w:sz w:val="24"/>
          <w:lang w:val="en-GB"/>
        </w:rPr>
        <w:t xml:space="preserve"> political scientist Tang Tsou, </w:t>
      </w:r>
      <w:r w:rsidR="00CF5FDA" w:rsidRPr="00F22180">
        <w:rPr>
          <w:rFonts w:ascii="Times New Roman" w:eastAsia="Songti TC" w:hAnsi="Times New Roman" w:cs="Times New Roman"/>
          <w:sz w:val="24"/>
          <w:lang w:val="en-GB"/>
        </w:rPr>
        <w:t>the modern Chinese revolution led by the Chinese Communist Party</w:t>
      </w:r>
      <w:r w:rsidR="00666BF6" w:rsidRPr="00F22180">
        <w:rPr>
          <w:rFonts w:ascii="Times New Roman" w:eastAsia="Songti TC" w:hAnsi="Times New Roman" w:cs="Times New Roman"/>
          <w:sz w:val="24"/>
          <w:lang w:val="en-GB"/>
        </w:rPr>
        <w:t xml:space="preserve"> reversed the sequence of development of the three elements of citizenship identified by </w:t>
      </w:r>
      <w:r w:rsidR="00C505E0" w:rsidRPr="00F22180">
        <w:rPr>
          <w:rFonts w:ascii="Times New Roman" w:eastAsia="Songti TC" w:hAnsi="Times New Roman" w:cs="Times New Roman"/>
          <w:sz w:val="24"/>
          <w:lang w:val="en-GB"/>
        </w:rPr>
        <w:t xml:space="preserve">the leading British sociologist </w:t>
      </w:r>
      <w:r w:rsidR="00666BF6" w:rsidRPr="00F22180">
        <w:rPr>
          <w:rFonts w:ascii="Times New Roman" w:eastAsia="Songti TC" w:hAnsi="Times New Roman" w:cs="Times New Roman"/>
          <w:sz w:val="24"/>
          <w:lang w:val="en-GB"/>
        </w:rPr>
        <w:t xml:space="preserve">T.H. Marshall in Europe. These three </w:t>
      </w:r>
      <w:r w:rsidR="00666BF6" w:rsidRPr="00F22180">
        <w:rPr>
          <w:rFonts w:ascii="Times New Roman" w:eastAsia="Songti TC" w:hAnsi="Times New Roman" w:cs="Times New Roman"/>
          <w:sz w:val="24"/>
          <w:lang w:val="en-GB"/>
        </w:rPr>
        <w:lastRenderedPageBreak/>
        <w:t xml:space="preserve">elements are civil, political and </w:t>
      </w:r>
      <w:r w:rsidR="00D153E7" w:rsidRPr="00F22180">
        <w:rPr>
          <w:rFonts w:ascii="Times New Roman" w:eastAsia="Songti TC" w:hAnsi="Times New Roman" w:cs="Times New Roman"/>
          <w:sz w:val="24"/>
          <w:lang w:val="en-GB"/>
        </w:rPr>
        <w:t>social</w:t>
      </w:r>
      <w:r w:rsidR="007A76DB" w:rsidRPr="00F22180">
        <w:rPr>
          <w:rFonts w:ascii="Times New Roman" w:eastAsia="Songti TC" w:hAnsi="Times New Roman" w:cs="Times New Roman"/>
          <w:sz w:val="24"/>
          <w:lang w:val="en-GB"/>
        </w:rPr>
        <w:t>-economic</w:t>
      </w:r>
      <w:r w:rsidR="00666BF6" w:rsidRPr="00F22180">
        <w:rPr>
          <w:rFonts w:ascii="Times New Roman" w:eastAsia="Songti TC" w:hAnsi="Times New Roman" w:cs="Times New Roman"/>
          <w:sz w:val="24"/>
          <w:lang w:val="en-GB"/>
        </w:rPr>
        <w:t xml:space="preserve"> rights. “The formative periods of these three elements were respectively 18</w:t>
      </w:r>
      <w:r w:rsidR="00666BF6" w:rsidRPr="00F22180">
        <w:rPr>
          <w:rFonts w:ascii="Times New Roman" w:eastAsia="Songti TC" w:hAnsi="Times New Roman" w:cs="Times New Roman"/>
          <w:sz w:val="24"/>
          <w:vertAlign w:val="superscript"/>
          <w:lang w:val="en-GB"/>
        </w:rPr>
        <w:t>th</w:t>
      </w:r>
      <w:r w:rsidR="00666BF6" w:rsidRPr="00F22180">
        <w:rPr>
          <w:rFonts w:ascii="Times New Roman" w:eastAsia="Songti TC" w:hAnsi="Times New Roman" w:cs="Times New Roman"/>
          <w:sz w:val="24"/>
          <w:lang w:val="en-GB"/>
        </w:rPr>
        <w:t>, 19</w:t>
      </w:r>
      <w:r w:rsidR="00666BF6" w:rsidRPr="00F22180">
        <w:rPr>
          <w:rFonts w:ascii="Times New Roman" w:eastAsia="Songti TC" w:hAnsi="Times New Roman" w:cs="Times New Roman"/>
          <w:sz w:val="24"/>
          <w:vertAlign w:val="superscript"/>
          <w:lang w:val="en-GB"/>
        </w:rPr>
        <w:t>th</w:t>
      </w:r>
      <w:r w:rsidR="00666BF6" w:rsidRPr="00F22180">
        <w:rPr>
          <w:rFonts w:ascii="Times New Roman" w:eastAsia="Songti TC" w:hAnsi="Times New Roman" w:cs="Times New Roman"/>
          <w:sz w:val="24"/>
          <w:lang w:val="en-GB"/>
        </w:rPr>
        <w:t xml:space="preserve"> and 20</w:t>
      </w:r>
      <w:r w:rsidR="00666BF6" w:rsidRPr="00F22180">
        <w:rPr>
          <w:rFonts w:ascii="Times New Roman" w:eastAsia="Songti TC" w:hAnsi="Times New Roman" w:cs="Times New Roman"/>
          <w:sz w:val="24"/>
          <w:vertAlign w:val="superscript"/>
          <w:lang w:val="en-GB"/>
        </w:rPr>
        <w:t>th</w:t>
      </w:r>
      <w:r w:rsidR="00666BF6" w:rsidRPr="00F22180">
        <w:rPr>
          <w:rFonts w:ascii="Times New Roman" w:eastAsia="Songti TC" w:hAnsi="Times New Roman" w:cs="Times New Roman"/>
          <w:sz w:val="24"/>
          <w:lang w:val="en-GB"/>
        </w:rPr>
        <w:t xml:space="preserve"> centuries”</w:t>
      </w:r>
      <w:r w:rsidR="00666BF6" w:rsidRPr="00F22180">
        <w:rPr>
          <w:rStyle w:val="Funotenzeichen"/>
          <w:rFonts w:ascii="Times New Roman" w:eastAsia="Songti TC" w:hAnsi="Times New Roman" w:cs="Times New Roman"/>
          <w:sz w:val="24"/>
          <w:lang w:val="en-GB"/>
        </w:rPr>
        <w:footnoteReference w:id="10"/>
      </w:r>
      <w:r w:rsidR="00D153E7" w:rsidRPr="00F22180">
        <w:rPr>
          <w:rFonts w:ascii="Times New Roman" w:eastAsia="Songti TC" w:hAnsi="Times New Roman" w:cs="Times New Roman"/>
          <w:sz w:val="24"/>
          <w:lang w:val="en-GB"/>
        </w:rPr>
        <w:t xml:space="preserve"> in Europe. In other words, civil and political rights developed first and social-economic right afterward in Europe. But the sequence in the modern China is the opposite: social-economic right was given priority in the Chinese Communist Party led revolution</w:t>
      </w:r>
      <w:r w:rsidR="0077375F" w:rsidRPr="00F22180">
        <w:rPr>
          <w:rFonts w:ascii="Times New Roman" w:eastAsia="Songti TC" w:hAnsi="Times New Roman" w:cs="Times New Roman"/>
          <w:sz w:val="24"/>
          <w:lang w:val="en-GB"/>
        </w:rPr>
        <w:t xml:space="preserve"> and state building after 1949</w:t>
      </w:r>
      <w:r w:rsidR="00D153E7" w:rsidRPr="00F22180">
        <w:rPr>
          <w:rFonts w:ascii="Times New Roman" w:eastAsia="Songti TC" w:hAnsi="Times New Roman" w:cs="Times New Roman"/>
          <w:sz w:val="24"/>
          <w:lang w:val="en-GB"/>
        </w:rPr>
        <w:t>,</w:t>
      </w:r>
      <w:r w:rsidR="00A95798" w:rsidRPr="00F22180">
        <w:rPr>
          <w:rFonts w:ascii="Times New Roman" w:eastAsia="Songti TC" w:hAnsi="Times New Roman" w:cs="Times New Roman"/>
          <w:sz w:val="24"/>
          <w:lang w:val="en-GB"/>
        </w:rPr>
        <w:t xml:space="preserve"> while civil and political rights are still underdeveloped, to say the least.</w:t>
      </w:r>
      <w:r w:rsidR="006C0CBC" w:rsidRPr="00F22180">
        <w:rPr>
          <w:rFonts w:ascii="Times New Roman" w:eastAsia="Songti TC" w:hAnsi="Times New Roman" w:cs="Times New Roman"/>
          <w:sz w:val="24"/>
          <w:lang w:val="en-GB"/>
        </w:rPr>
        <w:t xml:space="preserve"> </w:t>
      </w:r>
    </w:p>
    <w:p w14:paraId="0DDD4C22" w14:textId="4A28386C" w:rsidR="00E132D2" w:rsidRPr="00F22180" w:rsidRDefault="00E132D2" w:rsidP="00F22180">
      <w:pPr>
        <w:spacing w:before="120" w:after="120"/>
        <w:rPr>
          <w:rFonts w:ascii="Times New Roman" w:eastAsia="Songti TC" w:hAnsi="Times New Roman" w:cs="Times New Roman"/>
          <w:sz w:val="24"/>
          <w:lang w:val="en-GB"/>
        </w:rPr>
      </w:pPr>
      <w:r w:rsidRPr="00F22180">
        <w:rPr>
          <w:rFonts w:ascii="Times New Roman" w:eastAsia="Songti TC" w:hAnsi="Times New Roman" w:cs="Times New Roman"/>
          <w:sz w:val="24"/>
          <w:lang w:val="en-GB"/>
        </w:rPr>
        <w:t>Tocqueville’s big insight in making the distinction between “social equality” and “political equality” is that democracy is not only a political regime, but a social state of life (</w:t>
      </w:r>
      <w:r w:rsidRPr="00F22180">
        <w:rPr>
          <w:rFonts w:ascii="Times New Roman" w:eastAsia="Songti TC" w:hAnsi="Times New Roman" w:cs="Times New Roman"/>
          <w:i/>
          <w:iCs/>
          <w:sz w:val="24"/>
          <w:lang w:val="en-GB"/>
        </w:rPr>
        <w:t>l’état social démocratique</w:t>
      </w:r>
      <w:r w:rsidR="00034BC6" w:rsidRPr="00F22180">
        <w:rPr>
          <w:rFonts w:ascii="Times New Roman" w:eastAsia="Songti TC" w:hAnsi="Times New Roman" w:cs="Times New Roman"/>
          <w:i/>
          <w:iCs/>
          <w:sz w:val="24"/>
          <w:lang w:val="en-GB"/>
        </w:rPr>
        <w:t xml:space="preserve"> </w:t>
      </w:r>
      <w:r w:rsidR="00034BC6" w:rsidRPr="00F22180">
        <w:rPr>
          <w:rFonts w:ascii="Times New Roman" w:eastAsia="Songti TC" w:hAnsi="Times New Roman" w:cs="Times New Roman"/>
          <w:sz w:val="24"/>
          <w:lang w:val="en-GB"/>
        </w:rPr>
        <w:t>)</w:t>
      </w:r>
      <w:r w:rsidRPr="00F22180">
        <w:rPr>
          <w:rFonts w:ascii="Times New Roman" w:eastAsia="Songti TC" w:hAnsi="Times New Roman" w:cs="Times New Roman"/>
          <w:i/>
          <w:iCs/>
          <w:sz w:val="24"/>
          <w:lang w:val="en-GB"/>
        </w:rPr>
        <w:t xml:space="preserve"> </w:t>
      </w:r>
      <w:r w:rsidR="00414D86" w:rsidRPr="00F22180">
        <w:rPr>
          <w:rFonts w:ascii="Times New Roman" w:eastAsia="Songti TC" w:hAnsi="Times New Roman" w:cs="Times New Roman"/>
          <w:sz w:val="24"/>
          <w:lang w:val="en-GB"/>
        </w:rPr>
        <w:t xml:space="preserve">. There </w:t>
      </w:r>
      <w:r w:rsidR="00BC2F1D" w:rsidRPr="00F22180">
        <w:rPr>
          <w:rFonts w:ascii="Times New Roman" w:eastAsia="Songti TC" w:hAnsi="Times New Roman" w:cs="Times New Roman"/>
          <w:sz w:val="24"/>
          <w:lang w:val="en-GB"/>
        </w:rPr>
        <w:t>is</w:t>
      </w:r>
      <w:r w:rsidR="00414D86" w:rsidRPr="00F22180">
        <w:rPr>
          <w:rFonts w:ascii="Times New Roman" w:eastAsia="Songti TC" w:hAnsi="Times New Roman" w:cs="Times New Roman"/>
          <w:sz w:val="24"/>
          <w:lang w:val="en-GB"/>
        </w:rPr>
        <w:t xml:space="preserve"> </w:t>
      </w:r>
      <w:r w:rsidR="00BC2F1D" w:rsidRPr="00F22180">
        <w:rPr>
          <w:rFonts w:ascii="Times New Roman" w:eastAsia="Songti TC" w:hAnsi="Times New Roman" w:cs="Times New Roman"/>
          <w:sz w:val="24"/>
          <w:lang w:val="en-GB"/>
        </w:rPr>
        <w:t xml:space="preserve">a </w:t>
      </w:r>
      <w:r w:rsidR="00414D86" w:rsidRPr="00F22180">
        <w:rPr>
          <w:rFonts w:ascii="Times New Roman" w:eastAsia="Songti TC" w:hAnsi="Times New Roman" w:cs="Times New Roman"/>
          <w:sz w:val="24"/>
          <w:lang w:val="en-GB"/>
        </w:rPr>
        <w:t xml:space="preserve">mutual spill over tendency between social </w:t>
      </w:r>
      <w:r w:rsidR="00BC2F1D" w:rsidRPr="00F22180">
        <w:rPr>
          <w:rFonts w:ascii="Times New Roman" w:eastAsia="Songti TC" w:hAnsi="Times New Roman" w:cs="Times New Roman"/>
          <w:sz w:val="24"/>
          <w:lang w:val="en-GB"/>
        </w:rPr>
        <w:t xml:space="preserve">equality </w:t>
      </w:r>
      <w:r w:rsidR="00414D86" w:rsidRPr="00F22180">
        <w:rPr>
          <w:rFonts w:ascii="Times New Roman" w:eastAsia="Songti TC" w:hAnsi="Times New Roman" w:cs="Times New Roman"/>
          <w:sz w:val="24"/>
          <w:lang w:val="en-GB"/>
        </w:rPr>
        <w:t>and political equality.</w:t>
      </w:r>
      <w:r w:rsidRPr="00F22180">
        <w:rPr>
          <w:rFonts w:ascii="Times New Roman" w:eastAsia="Songti TC" w:hAnsi="Times New Roman" w:cs="Times New Roman"/>
          <w:i/>
          <w:iCs/>
          <w:sz w:val="24"/>
          <w:lang w:val="en-GB"/>
        </w:rPr>
        <w:t xml:space="preserve"> </w:t>
      </w:r>
      <w:r w:rsidR="00BC2F1D" w:rsidRPr="00F22180">
        <w:rPr>
          <w:rFonts w:ascii="Times New Roman" w:eastAsia="Songti TC" w:hAnsi="Times New Roman" w:cs="Times New Roman"/>
          <w:sz w:val="24"/>
          <w:lang w:val="en-GB"/>
        </w:rPr>
        <w:t xml:space="preserve">For example, before the outbreak of the Covid-19, </w:t>
      </w:r>
      <w:r w:rsidR="00195DD2" w:rsidRPr="00F22180">
        <w:rPr>
          <w:rFonts w:ascii="Times New Roman" w:eastAsia="Songti TC" w:hAnsi="Times New Roman" w:cs="Times New Roman"/>
          <w:sz w:val="24"/>
          <w:lang w:val="en-GB"/>
        </w:rPr>
        <w:t xml:space="preserve">many </w:t>
      </w:r>
      <w:r w:rsidR="00BC2F1D" w:rsidRPr="00F22180">
        <w:rPr>
          <w:rFonts w:ascii="Times New Roman" w:eastAsia="Songti TC" w:hAnsi="Times New Roman" w:cs="Times New Roman"/>
          <w:sz w:val="24"/>
          <w:lang w:val="en-GB"/>
        </w:rPr>
        <w:t>Chinese passengers often sat next to taxi drivers</w:t>
      </w:r>
      <w:r w:rsidR="00E16D82" w:rsidRPr="00F22180">
        <w:rPr>
          <w:rFonts w:ascii="Times New Roman" w:eastAsia="Songti TC" w:hAnsi="Times New Roman" w:cs="Times New Roman"/>
          <w:sz w:val="24"/>
          <w:lang w:val="en-GB"/>
        </w:rPr>
        <w:t>, e</w:t>
      </w:r>
      <w:r w:rsidR="00D12A24" w:rsidRPr="00F22180">
        <w:rPr>
          <w:rFonts w:ascii="Times New Roman" w:eastAsia="Songti TC" w:hAnsi="Times New Roman" w:cs="Times New Roman"/>
          <w:sz w:val="24"/>
          <w:lang w:val="en-GB"/>
        </w:rPr>
        <w:t>ve</w:t>
      </w:r>
      <w:r w:rsidR="00E16D82" w:rsidRPr="00F22180">
        <w:rPr>
          <w:rFonts w:ascii="Times New Roman" w:eastAsia="Songti TC" w:hAnsi="Times New Roman" w:cs="Times New Roman"/>
          <w:sz w:val="24"/>
          <w:lang w:val="en-GB"/>
        </w:rPr>
        <w:t>n if the back seat is empty</w:t>
      </w:r>
      <w:r w:rsidR="00B50C91" w:rsidRPr="00F22180">
        <w:rPr>
          <w:rFonts w:ascii="Times New Roman" w:eastAsia="Songti TC" w:hAnsi="Times New Roman" w:cs="Times New Roman"/>
          <w:sz w:val="24"/>
          <w:lang w:val="en-GB"/>
        </w:rPr>
        <w:t xml:space="preserve">. </w:t>
      </w:r>
      <w:r w:rsidR="00416A04" w:rsidRPr="00F22180">
        <w:rPr>
          <w:rFonts w:ascii="Times New Roman" w:eastAsia="Songti TC" w:hAnsi="Times New Roman" w:cs="Times New Roman"/>
          <w:sz w:val="24"/>
          <w:lang w:val="en-GB"/>
        </w:rPr>
        <w:t xml:space="preserve">This shows a lack of social distance due to the consciousness of hierarchy. </w:t>
      </w:r>
      <w:r w:rsidR="00DD60B9" w:rsidRPr="00F22180">
        <w:rPr>
          <w:rFonts w:ascii="Times New Roman" w:eastAsia="Songti TC" w:hAnsi="Times New Roman" w:cs="Times New Roman"/>
          <w:sz w:val="24"/>
          <w:lang w:val="en-GB"/>
        </w:rPr>
        <w:t xml:space="preserve">This kind of </w:t>
      </w:r>
      <w:r w:rsidR="00071849" w:rsidRPr="00F22180">
        <w:rPr>
          <w:rFonts w:ascii="Times New Roman" w:eastAsia="Songti TC" w:hAnsi="Times New Roman" w:cs="Times New Roman"/>
          <w:sz w:val="24"/>
          <w:lang w:val="en-GB"/>
        </w:rPr>
        <w:t>“</w:t>
      </w:r>
      <w:r w:rsidR="00DD60B9" w:rsidRPr="00F22180">
        <w:rPr>
          <w:rFonts w:ascii="Times New Roman" w:eastAsia="Songti TC" w:hAnsi="Times New Roman" w:cs="Times New Roman"/>
          <w:sz w:val="24"/>
          <w:lang w:val="en-GB"/>
        </w:rPr>
        <w:t>social equality</w:t>
      </w:r>
      <w:r w:rsidR="00071849" w:rsidRPr="00F22180">
        <w:rPr>
          <w:rFonts w:ascii="Times New Roman" w:eastAsia="Songti TC" w:hAnsi="Times New Roman" w:cs="Times New Roman"/>
          <w:sz w:val="24"/>
          <w:lang w:val="en-GB"/>
        </w:rPr>
        <w:t>”</w:t>
      </w:r>
      <w:r w:rsidR="00DD60B9" w:rsidRPr="00F22180">
        <w:rPr>
          <w:rFonts w:ascii="Times New Roman" w:eastAsia="Songti TC" w:hAnsi="Times New Roman" w:cs="Times New Roman"/>
          <w:sz w:val="24"/>
          <w:lang w:val="en-GB"/>
        </w:rPr>
        <w:t xml:space="preserve">, under modern conditions, may spill over to the development of the consciousness of </w:t>
      </w:r>
      <w:r w:rsidR="00071849" w:rsidRPr="00F22180">
        <w:rPr>
          <w:rFonts w:ascii="Times New Roman" w:eastAsia="Songti TC" w:hAnsi="Times New Roman" w:cs="Times New Roman"/>
          <w:sz w:val="24"/>
          <w:lang w:val="en-GB"/>
        </w:rPr>
        <w:t>“</w:t>
      </w:r>
      <w:r w:rsidR="00DD60B9" w:rsidRPr="00F22180">
        <w:rPr>
          <w:rFonts w:ascii="Times New Roman" w:eastAsia="Songti TC" w:hAnsi="Times New Roman" w:cs="Times New Roman"/>
          <w:sz w:val="24"/>
          <w:lang w:val="en-GB"/>
        </w:rPr>
        <w:t>political equality</w:t>
      </w:r>
      <w:r w:rsidR="00071849" w:rsidRPr="00F22180">
        <w:rPr>
          <w:rFonts w:ascii="Times New Roman" w:eastAsia="Songti TC" w:hAnsi="Times New Roman" w:cs="Times New Roman"/>
          <w:sz w:val="24"/>
          <w:lang w:val="en-GB"/>
        </w:rPr>
        <w:t>”</w:t>
      </w:r>
      <w:r w:rsidR="001F2FD6" w:rsidRPr="00F22180">
        <w:rPr>
          <w:rFonts w:ascii="Times New Roman" w:eastAsia="Songti TC" w:hAnsi="Times New Roman" w:cs="Times New Roman"/>
          <w:sz w:val="24"/>
          <w:lang w:val="en-GB"/>
        </w:rPr>
        <w:t>.</w:t>
      </w:r>
    </w:p>
    <w:p w14:paraId="3A01C89D" w14:textId="2A82F89B" w:rsidR="0067164D" w:rsidRPr="00F22180" w:rsidRDefault="00195DD2" w:rsidP="00F22180">
      <w:pPr>
        <w:spacing w:before="120" w:after="120"/>
        <w:rPr>
          <w:rFonts w:ascii="Times New Roman" w:eastAsia="Songti TC" w:hAnsi="Times New Roman" w:cs="Times New Roman"/>
          <w:sz w:val="24"/>
        </w:rPr>
      </w:pPr>
      <w:r w:rsidRPr="00F22180">
        <w:rPr>
          <w:rFonts w:ascii="Times New Roman" w:eastAsia="Songti TC" w:hAnsi="Times New Roman" w:cs="Times New Roman"/>
          <w:sz w:val="24"/>
          <w:lang w:val="en-GB"/>
        </w:rPr>
        <w:t xml:space="preserve">Two political developments illustrate this potential </w:t>
      </w:r>
      <w:r w:rsidR="0067164D" w:rsidRPr="00F22180">
        <w:rPr>
          <w:rFonts w:ascii="Times New Roman" w:eastAsia="Songti TC" w:hAnsi="Times New Roman" w:cs="Times New Roman"/>
          <w:sz w:val="24"/>
        </w:rPr>
        <w:t xml:space="preserve">movement from social to political equality. One is that </w:t>
      </w:r>
      <w:r w:rsidR="000316EE" w:rsidRPr="00F22180">
        <w:rPr>
          <w:rFonts w:ascii="Times New Roman" w:eastAsia="Songti TC" w:hAnsi="Times New Roman" w:cs="Times New Roman"/>
          <w:sz w:val="24"/>
          <w:lang w:val="en-GB"/>
        </w:rPr>
        <w:t>t</w:t>
      </w:r>
      <w:r w:rsidR="0067164D" w:rsidRPr="00F22180">
        <w:rPr>
          <w:rFonts w:ascii="Times New Roman" w:eastAsia="Songti TC" w:hAnsi="Times New Roman" w:cs="Times New Roman"/>
          <w:sz w:val="24"/>
          <w:lang w:val="en-GB"/>
        </w:rPr>
        <w:t>wo China's leading tech companies are setting up labo</w:t>
      </w:r>
      <w:r w:rsidR="002226BA" w:rsidRPr="00F22180">
        <w:rPr>
          <w:rFonts w:ascii="Times New Roman" w:eastAsia="Songti TC" w:hAnsi="Times New Roman" w:cs="Times New Roman"/>
          <w:sz w:val="24"/>
          <w:lang w:val="en-GB"/>
        </w:rPr>
        <w:t>u</w:t>
      </w:r>
      <w:r w:rsidR="0067164D" w:rsidRPr="00F22180">
        <w:rPr>
          <w:rFonts w:ascii="Times New Roman" w:eastAsia="Songti TC" w:hAnsi="Times New Roman" w:cs="Times New Roman"/>
          <w:sz w:val="24"/>
          <w:lang w:val="en-GB"/>
        </w:rPr>
        <w:t>r unions for their staff as the industry comes under intense political pressure to rethink how it treats its workers</w:t>
      </w:r>
      <w:r w:rsidR="000316EE" w:rsidRPr="00F22180">
        <w:rPr>
          <w:rStyle w:val="Funotenzeichen"/>
          <w:rFonts w:ascii="Times New Roman" w:eastAsia="Songti TC" w:hAnsi="Times New Roman" w:cs="Times New Roman"/>
          <w:sz w:val="24"/>
          <w:lang w:val="en-GB"/>
        </w:rPr>
        <w:footnoteReference w:id="11"/>
      </w:r>
      <w:r w:rsidR="0067164D" w:rsidRPr="00F22180">
        <w:rPr>
          <w:rFonts w:ascii="Times New Roman" w:eastAsia="Songti TC" w:hAnsi="Times New Roman" w:cs="Times New Roman"/>
          <w:sz w:val="24"/>
          <w:lang w:val="en-GB"/>
        </w:rPr>
        <w:t>.</w:t>
      </w:r>
      <w:r w:rsidR="002226BA" w:rsidRPr="00F22180">
        <w:rPr>
          <w:rFonts w:ascii="Times New Roman" w:eastAsia="Songti TC" w:hAnsi="Times New Roman" w:cs="Times New Roman"/>
          <w:sz w:val="24"/>
          <w:lang w:val="en-GB"/>
        </w:rPr>
        <w:t xml:space="preserve"> Another is </w:t>
      </w:r>
      <w:r w:rsidR="002226BA" w:rsidRPr="00F22180">
        <w:rPr>
          <w:rFonts w:ascii="Times New Roman" w:eastAsia="Songti TC" w:hAnsi="Times New Roman" w:cs="Times New Roman"/>
          <w:sz w:val="24"/>
        </w:rPr>
        <w:t>China’s 2010 Amendment to the Electoral Law of 1979</w:t>
      </w:r>
      <w:r w:rsidR="00010BAD" w:rsidRPr="00F22180">
        <w:rPr>
          <w:rStyle w:val="Funotenzeichen"/>
          <w:rFonts w:ascii="Times New Roman" w:eastAsia="Songti TC" w:hAnsi="Times New Roman" w:cs="Times New Roman"/>
          <w:sz w:val="24"/>
        </w:rPr>
        <w:footnoteReference w:id="12"/>
      </w:r>
      <w:r w:rsidR="002226BA" w:rsidRPr="00F22180">
        <w:rPr>
          <w:rFonts w:ascii="Times New Roman" w:eastAsia="Songti TC" w:hAnsi="Times New Roman" w:cs="Times New Roman"/>
          <w:sz w:val="24"/>
        </w:rPr>
        <w:t>.</w:t>
      </w:r>
      <w:r w:rsidR="00F26121" w:rsidRPr="00F22180">
        <w:rPr>
          <w:rFonts w:ascii="Times New Roman" w:eastAsia="Songti TC" w:hAnsi="Times New Roman" w:cs="Times New Roman"/>
          <w:sz w:val="24"/>
        </w:rPr>
        <w:t xml:space="preserve"> We certainly hope to see more movements toward political equality from social equality in China.</w:t>
      </w:r>
    </w:p>
    <w:p w14:paraId="7AD37B11" w14:textId="3B6C474C" w:rsidR="003018E1" w:rsidRPr="00F22180" w:rsidRDefault="003018E1" w:rsidP="00F22180">
      <w:pPr>
        <w:spacing w:before="120" w:after="120"/>
        <w:rPr>
          <w:rFonts w:ascii="Times New Roman" w:eastAsia="Songti TC" w:hAnsi="Times New Roman" w:cs="Times New Roman"/>
          <w:sz w:val="24"/>
          <w:lang w:val="en-GB"/>
        </w:rPr>
      </w:pPr>
      <w:r w:rsidRPr="00F22180">
        <w:rPr>
          <w:rFonts w:ascii="Times New Roman" w:eastAsia="Songti TC" w:hAnsi="Times New Roman" w:cs="Times New Roman"/>
          <w:sz w:val="24"/>
        </w:rPr>
        <w:t>On the other hand, there seems to be a spill over movement from political equality to social equality happening in Europe today. The distinguished French political theorist Rosanvallon echos Tocqueville’s distinction of social and political equality in his 2011 book “</w:t>
      </w:r>
      <w:r w:rsidRPr="00F22180">
        <w:rPr>
          <w:rFonts w:ascii="Times New Roman" w:eastAsia="Songti TC" w:hAnsi="Times New Roman" w:cs="Times New Roman"/>
          <w:sz w:val="24"/>
          <w:lang w:val="en-GB"/>
        </w:rPr>
        <w:t>La société des égaux” by saying: “But the “people,” understood in a political sense as a collective entity that ever more powerfully imposes its will, is less and less a “social body.” Political citizenship has progressed, while social citizenship has regressed"</w:t>
      </w:r>
      <w:r w:rsidRPr="00F22180">
        <w:rPr>
          <w:rStyle w:val="Funotenzeichen"/>
          <w:rFonts w:ascii="Times New Roman" w:eastAsia="Songti TC" w:hAnsi="Times New Roman" w:cs="Times New Roman"/>
          <w:sz w:val="24"/>
          <w:lang w:val="en-GB"/>
        </w:rPr>
        <w:footnoteReference w:id="13"/>
      </w:r>
      <w:r w:rsidRPr="00F22180">
        <w:rPr>
          <w:rFonts w:ascii="Times New Roman" w:eastAsia="Songti TC" w:hAnsi="Times New Roman" w:cs="Times New Roman"/>
          <w:sz w:val="24"/>
          <w:lang w:val="en-GB"/>
        </w:rPr>
        <w:t>.</w:t>
      </w:r>
      <w:r w:rsidR="0070417A" w:rsidRPr="00F22180">
        <w:rPr>
          <w:rFonts w:ascii="Times New Roman" w:eastAsia="Songti TC" w:hAnsi="Times New Roman" w:cs="Times New Roman"/>
          <w:sz w:val="24"/>
          <w:lang w:val="en-GB"/>
        </w:rPr>
        <w:t xml:space="preserve"> The popularity of Thomas Piketty’s book “Capital in the </w:t>
      </w:r>
      <w:r w:rsidR="00F22180" w:rsidRPr="00F22180">
        <w:rPr>
          <w:rFonts w:ascii="Times New Roman" w:eastAsia="Songti TC" w:hAnsi="Times New Roman" w:cs="Times New Roman"/>
          <w:sz w:val="24"/>
          <w:lang w:val="en-GB"/>
        </w:rPr>
        <w:t>21st</w:t>
      </w:r>
      <w:r w:rsidR="0070417A" w:rsidRPr="00F22180">
        <w:rPr>
          <w:rFonts w:ascii="Times New Roman" w:eastAsia="Songti TC" w:hAnsi="Times New Roman" w:cs="Times New Roman"/>
          <w:sz w:val="24"/>
          <w:lang w:val="en-GB"/>
        </w:rPr>
        <w:t xml:space="preserve"> Century” may be a reflection of this tendency moving from political to social equality</w:t>
      </w:r>
      <w:r w:rsidR="00967F75" w:rsidRPr="00F22180">
        <w:rPr>
          <w:rFonts w:ascii="Times New Roman" w:eastAsia="Songti TC" w:hAnsi="Times New Roman" w:cs="Times New Roman"/>
          <w:sz w:val="24"/>
          <w:lang w:val="en-GB"/>
        </w:rPr>
        <w:t xml:space="preserve"> in today’s Europe.</w:t>
      </w:r>
    </w:p>
    <w:p w14:paraId="5B106924" w14:textId="7CA7FEC7" w:rsidR="009B600C" w:rsidRPr="00F22180" w:rsidRDefault="007C55EA" w:rsidP="00F22180">
      <w:pPr>
        <w:spacing w:before="120" w:after="120"/>
        <w:rPr>
          <w:rFonts w:ascii="Times New Roman" w:eastAsia="Songti TC" w:hAnsi="Times New Roman" w:cs="Times New Roman"/>
          <w:sz w:val="24"/>
        </w:rPr>
      </w:pPr>
      <w:r w:rsidRPr="00F22180">
        <w:rPr>
          <w:rFonts w:ascii="Times New Roman" w:eastAsia="Songti TC" w:hAnsi="Times New Roman" w:cs="Times New Roman"/>
          <w:sz w:val="24"/>
          <w:lang w:val="en-GB"/>
        </w:rPr>
        <w:t xml:space="preserve">Let us hope Tocqueville’s distinction between “social equality” and “political equality” will make China and Europe understand each other </w:t>
      </w:r>
      <w:r w:rsidR="007E34D8" w:rsidRPr="00F22180">
        <w:rPr>
          <w:rFonts w:ascii="Times New Roman" w:eastAsia="Songti TC" w:hAnsi="Times New Roman" w:cs="Times New Roman"/>
          <w:sz w:val="24"/>
          <w:lang w:val="en-GB"/>
        </w:rPr>
        <w:t>at a deeper level</w:t>
      </w:r>
      <w:r w:rsidRPr="00F22180">
        <w:rPr>
          <w:rFonts w:ascii="Times New Roman" w:eastAsia="Songti TC" w:hAnsi="Times New Roman" w:cs="Times New Roman"/>
          <w:sz w:val="24"/>
          <w:lang w:val="en-GB"/>
        </w:rPr>
        <w:t xml:space="preserve">, and </w:t>
      </w:r>
      <w:r w:rsidR="007E34D8" w:rsidRPr="00F22180">
        <w:rPr>
          <w:rFonts w:ascii="Times New Roman" w:eastAsia="Songti TC" w:hAnsi="Times New Roman" w:cs="Times New Roman"/>
          <w:sz w:val="24"/>
          <w:lang w:val="en-GB"/>
        </w:rPr>
        <w:t xml:space="preserve">the </w:t>
      </w:r>
      <w:r w:rsidRPr="00F22180">
        <w:rPr>
          <w:rFonts w:ascii="Times New Roman" w:eastAsia="Songti TC" w:hAnsi="Times New Roman" w:cs="Times New Roman"/>
          <w:sz w:val="24"/>
          <w:lang w:val="en-GB"/>
        </w:rPr>
        <w:t>mutual spill over effects between “social equality” and “political equality” will lead a better world.</w:t>
      </w:r>
    </w:p>
    <w:sectPr w:rsidR="009B600C" w:rsidRPr="00F22180" w:rsidSect="00F22180">
      <w:pgSz w:w="11900" w:h="16840"/>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490B8" w14:textId="77777777" w:rsidR="008B5095" w:rsidRDefault="008B5095" w:rsidP="00340AF8">
      <w:r>
        <w:separator/>
      </w:r>
    </w:p>
  </w:endnote>
  <w:endnote w:type="continuationSeparator" w:id="0">
    <w:p w14:paraId="72B0C83E" w14:textId="77777777" w:rsidR="008B5095" w:rsidRDefault="008B5095" w:rsidP="00340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ongti TC">
    <w:panose1 w:val="02010600040101010101"/>
    <w:charset w:val="88"/>
    <w:family w:val="auto"/>
    <w:pitch w:val="variable"/>
    <w:sig w:usb0="00000287" w:usb1="080F0000" w:usb2="00000010" w:usb3="00000000" w:csb0="0014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7AB31" w14:textId="77777777" w:rsidR="008B5095" w:rsidRDefault="008B5095" w:rsidP="00340AF8">
      <w:r>
        <w:separator/>
      </w:r>
    </w:p>
  </w:footnote>
  <w:footnote w:type="continuationSeparator" w:id="0">
    <w:p w14:paraId="562FB142" w14:textId="77777777" w:rsidR="008B5095" w:rsidRDefault="008B5095" w:rsidP="00340AF8">
      <w:r>
        <w:continuationSeparator/>
      </w:r>
    </w:p>
  </w:footnote>
  <w:footnote w:id="1">
    <w:p w14:paraId="62A0847B" w14:textId="245EE68C" w:rsidR="00340AF8" w:rsidRPr="00F22180" w:rsidRDefault="00340AF8" w:rsidP="00F22180">
      <w:pPr>
        <w:pStyle w:val="Funotentext"/>
        <w:jc w:val="both"/>
        <w:rPr>
          <w:rFonts w:ascii="Times New Roman" w:hAnsi="Times New Roman" w:cs="Times New Roman"/>
        </w:rPr>
      </w:pPr>
      <w:r w:rsidRPr="00F22180">
        <w:rPr>
          <w:rStyle w:val="Funotenzeichen"/>
          <w:rFonts w:ascii="Times New Roman" w:hAnsi="Times New Roman" w:cs="Times New Roman"/>
        </w:rPr>
        <w:footnoteRef/>
      </w:r>
      <w:r w:rsidRPr="00F22180">
        <w:rPr>
          <w:rFonts w:ascii="Times New Roman" w:hAnsi="Times New Roman" w:cs="Times New Roman"/>
        </w:rPr>
        <w:t xml:space="preserve"> </w:t>
      </w:r>
      <w:r w:rsidRPr="00F22180">
        <w:rPr>
          <w:rFonts w:ascii="Times New Roman" w:hAnsi="Times New Roman" w:cs="Times New Roman"/>
          <w:lang w:val="en-GB"/>
        </w:rPr>
        <w:t xml:space="preserve">Alexis de Tocqueville, </w:t>
      </w:r>
      <w:r w:rsidRPr="00F22180">
        <w:rPr>
          <w:rFonts w:ascii="Times New Roman" w:hAnsi="Times New Roman" w:cs="Times New Roman"/>
          <w:i/>
          <w:iCs/>
          <w:lang w:val="en-GB"/>
        </w:rPr>
        <w:t xml:space="preserve">Democracy in America, </w:t>
      </w:r>
      <w:r w:rsidRPr="00F22180">
        <w:rPr>
          <w:rFonts w:ascii="Times New Roman" w:hAnsi="Times New Roman" w:cs="Times New Roman"/>
          <w:lang w:val="en-GB"/>
        </w:rPr>
        <w:t xml:space="preserve">trans. Gerald E. Bevan (London: Penguin, 2003), p.584 </w:t>
      </w:r>
    </w:p>
  </w:footnote>
  <w:footnote w:id="2">
    <w:p w14:paraId="75253D72" w14:textId="2480E81E" w:rsidR="00A8309B" w:rsidRPr="00F22180" w:rsidRDefault="00A8309B" w:rsidP="00F22180">
      <w:pPr>
        <w:pStyle w:val="Funotentext"/>
        <w:jc w:val="both"/>
        <w:rPr>
          <w:rFonts w:ascii="Times New Roman" w:hAnsi="Times New Roman" w:cs="Times New Roman"/>
        </w:rPr>
      </w:pPr>
      <w:r w:rsidRPr="00F22180">
        <w:rPr>
          <w:rStyle w:val="Funotenzeichen"/>
          <w:rFonts w:ascii="Times New Roman" w:hAnsi="Times New Roman" w:cs="Times New Roman"/>
        </w:rPr>
        <w:footnoteRef/>
      </w:r>
      <w:r w:rsidRPr="00F22180">
        <w:rPr>
          <w:rFonts w:ascii="Times New Roman" w:hAnsi="Times New Roman" w:cs="Times New Roman"/>
        </w:rPr>
        <w:t xml:space="preserve"> This translation is due to a distinguished Chinese historian Ping-ti Ho, see his “The Ladder of Success in Imperial China</w:t>
      </w:r>
      <w:r w:rsidR="00763EB0" w:rsidRPr="00F22180">
        <w:rPr>
          <w:rFonts w:ascii="Times New Roman" w:hAnsi="Times New Roman" w:cs="Times New Roman"/>
        </w:rPr>
        <w:t>: Aspects of Social Mobility, 1368-1911</w:t>
      </w:r>
      <w:r w:rsidR="001505B7" w:rsidRPr="00F22180">
        <w:rPr>
          <w:rFonts w:ascii="Times New Roman" w:hAnsi="Times New Roman" w:cs="Times New Roman"/>
        </w:rPr>
        <w:t>”</w:t>
      </w:r>
      <w:r w:rsidR="00763EB0" w:rsidRPr="00F22180">
        <w:rPr>
          <w:rFonts w:ascii="Times New Roman" w:hAnsi="Times New Roman" w:cs="Times New Roman"/>
        </w:rPr>
        <w:t>,</w:t>
      </w:r>
      <w:r w:rsidR="001505B7" w:rsidRPr="00F22180">
        <w:rPr>
          <w:rFonts w:ascii="Times New Roman" w:hAnsi="Times New Roman" w:cs="Times New Roman"/>
        </w:rPr>
        <w:t xml:space="preserve"> </w:t>
      </w:r>
      <w:r w:rsidR="00763EB0" w:rsidRPr="00F22180">
        <w:rPr>
          <w:rFonts w:ascii="Times New Roman" w:hAnsi="Times New Roman" w:cs="Times New Roman"/>
        </w:rPr>
        <w:t>Columbia University Press, 1962,</w:t>
      </w:r>
      <w:r w:rsidR="001C31F3" w:rsidRPr="00F22180">
        <w:rPr>
          <w:rFonts w:ascii="Times New Roman" w:hAnsi="Times New Roman" w:cs="Times New Roman"/>
        </w:rPr>
        <w:t xml:space="preserve"> </w:t>
      </w:r>
      <w:r w:rsidR="00763EB0" w:rsidRPr="00F22180">
        <w:rPr>
          <w:rFonts w:ascii="Times New Roman" w:hAnsi="Times New Roman" w:cs="Times New Roman"/>
        </w:rPr>
        <w:t>p.6.</w:t>
      </w:r>
    </w:p>
  </w:footnote>
  <w:footnote w:id="3">
    <w:p w14:paraId="1B16ED02" w14:textId="4F9D096C" w:rsidR="00992015" w:rsidRPr="00F22180" w:rsidRDefault="00992015" w:rsidP="00F22180">
      <w:pPr>
        <w:pStyle w:val="Funotentext"/>
        <w:jc w:val="both"/>
        <w:rPr>
          <w:rFonts w:ascii="Times New Roman" w:hAnsi="Times New Roman" w:cs="Times New Roman"/>
        </w:rPr>
      </w:pPr>
      <w:r w:rsidRPr="00F22180">
        <w:rPr>
          <w:rStyle w:val="Funotenzeichen"/>
          <w:rFonts w:ascii="Times New Roman" w:hAnsi="Times New Roman" w:cs="Times New Roman"/>
        </w:rPr>
        <w:footnoteRef/>
      </w:r>
      <w:r w:rsidRPr="00F22180">
        <w:rPr>
          <w:rFonts w:ascii="Times New Roman" w:hAnsi="Times New Roman" w:cs="Times New Roman"/>
        </w:rPr>
        <w:t xml:space="preserve"> David </w:t>
      </w:r>
      <w:r w:rsidR="001C31F3" w:rsidRPr="00F22180">
        <w:rPr>
          <w:rFonts w:ascii="Times New Roman" w:hAnsi="Times New Roman" w:cs="Times New Roman"/>
        </w:rPr>
        <w:t>Stasavage, “The Decline and Rise of Democracy: A Global History from Antiquity to Today”, Princeton University Press, 2020, p.154.</w:t>
      </w:r>
    </w:p>
  </w:footnote>
  <w:footnote w:id="4">
    <w:p w14:paraId="6A41B632" w14:textId="63DD1DCB" w:rsidR="00FF3D78" w:rsidRPr="00F22180" w:rsidRDefault="00FF3D78" w:rsidP="00F22180">
      <w:pPr>
        <w:pStyle w:val="Funotentext"/>
        <w:jc w:val="both"/>
        <w:rPr>
          <w:rFonts w:ascii="Times New Roman" w:hAnsi="Times New Roman" w:cs="Times New Roman"/>
        </w:rPr>
      </w:pPr>
      <w:r w:rsidRPr="00F22180">
        <w:rPr>
          <w:rStyle w:val="Funotenzeichen"/>
          <w:rFonts w:ascii="Times New Roman" w:hAnsi="Times New Roman" w:cs="Times New Roman"/>
        </w:rPr>
        <w:footnoteRef/>
      </w:r>
      <w:r w:rsidRPr="00F22180">
        <w:rPr>
          <w:rFonts w:ascii="Times New Roman" w:hAnsi="Times New Roman" w:cs="Times New Roman"/>
        </w:rPr>
        <w:t xml:space="preserve"> Hisayuki Miyakawa, “An Outline of the Naito Hypothesis and Its Effects on Japanese Studies of China”, The Far Eastern Quarterly, August 1955,pp.533-552.</w:t>
      </w:r>
    </w:p>
  </w:footnote>
  <w:footnote w:id="5">
    <w:p w14:paraId="636C1A6A" w14:textId="1AE0E5E2" w:rsidR="00D40A6E" w:rsidRPr="00F22180" w:rsidRDefault="00D40A6E" w:rsidP="00F22180">
      <w:pPr>
        <w:pStyle w:val="Funotentext"/>
        <w:jc w:val="both"/>
        <w:rPr>
          <w:rFonts w:ascii="Times New Roman" w:hAnsi="Times New Roman" w:cs="Times New Roman"/>
        </w:rPr>
      </w:pPr>
      <w:r w:rsidRPr="00F22180">
        <w:rPr>
          <w:rStyle w:val="Funotenzeichen"/>
          <w:rFonts w:ascii="Times New Roman" w:hAnsi="Times New Roman" w:cs="Times New Roman"/>
        </w:rPr>
        <w:footnoteRef/>
      </w:r>
      <w:r w:rsidRPr="00F22180">
        <w:rPr>
          <w:rFonts w:ascii="Times New Roman" w:hAnsi="Times New Roman" w:cs="Times New Roman"/>
        </w:rPr>
        <w:t xml:space="preserve"> Gregory Clark, </w:t>
      </w:r>
      <w:r w:rsidR="00D62780" w:rsidRPr="00F22180">
        <w:rPr>
          <w:rFonts w:ascii="Times New Roman" w:hAnsi="Times New Roman" w:cs="Times New Roman"/>
        </w:rPr>
        <w:t>“</w:t>
      </w:r>
      <w:r w:rsidR="00BC7963" w:rsidRPr="00F22180">
        <w:rPr>
          <w:rFonts w:ascii="Times New Roman" w:hAnsi="Times New Roman" w:cs="Times New Roman"/>
        </w:rPr>
        <w:t>The Son Also Rises”, Princeton University Press, 2014, p.170.</w:t>
      </w:r>
    </w:p>
  </w:footnote>
  <w:footnote w:id="6">
    <w:p w14:paraId="0863A64E" w14:textId="7D7B5207" w:rsidR="007F307A" w:rsidRPr="00F22180" w:rsidRDefault="007F307A" w:rsidP="00F22180">
      <w:pPr>
        <w:pStyle w:val="Funotentext"/>
        <w:jc w:val="both"/>
        <w:rPr>
          <w:rFonts w:ascii="Times New Roman" w:hAnsi="Times New Roman" w:cs="Times New Roman"/>
        </w:rPr>
      </w:pPr>
      <w:r w:rsidRPr="00F22180">
        <w:rPr>
          <w:rStyle w:val="Funotenzeichen"/>
          <w:rFonts w:ascii="Times New Roman" w:hAnsi="Times New Roman" w:cs="Times New Roman"/>
        </w:rPr>
        <w:footnoteRef/>
      </w:r>
      <w:r w:rsidRPr="00F22180">
        <w:rPr>
          <w:rFonts w:ascii="Times New Roman" w:hAnsi="Times New Roman" w:cs="Times New Roman"/>
        </w:rPr>
        <w:t xml:space="preserve"> Liu Yan, et al, “A Study of Surnames in China through </w:t>
      </w:r>
      <w:r w:rsidR="00541E1B" w:rsidRPr="00F22180">
        <w:rPr>
          <w:rFonts w:ascii="Times New Roman" w:hAnsi="Times New Roman" w:cs="Times New Roman"/>
        </w:rPr>
        <w:t>Isonymy”, American Journal of Physical Anthropology</w:t>
      </w:r>
      <w:r w:rsidR="00912733" w:rsidRPr="00F22180">
        <w:rPr>
          <w:rFonts w:ascii="Times New Roman" w:hAnsi="Times New Roman" w:cs="Times New Roman"/>
        </w:rPr>
        <w:t>, vol.148, 2021, pp.341-350.</w:t>
      </w:r>
      <w:r w:rsidR="008874EF" w:rsidRPr="00F22180">
        <w:rPr>
          <w:rFonts w:ascii="Times New Roman" w:hAnsi="Times New Roman" w:cs="Times New Roman"/>
        </w:rPr>
        <w:t xml:space="preserve"> This article gives the latest data in 2012 on the number of surnames in China: 7327 surnames among 1.28 billion people.</w:t>
      </w:r>
    </w:p>
  </w:footnote>
  <w:footnote w:id="7">
    <w:p w14:paraId="3C671B69" w14:textId="5A914EF8" w:rsidR="00740D03" w:rsidRPr="00F22180" w:rsidRDefault="00740D03" w:rsidP="00F22180">
      <w:pPr>
        <w:pStyle w:val="Funotentext"/>
        <w:jc w:val="both"/>
        <w:rPr>
          <w:rFonts w:ascii="Times New Roman" w:hAnsi="Times New Roman" w:cs="Times New Roman"/>
        </w:rPr>
      </w:pPr>
      <w:r w:rsidRPr="00F22180">
        <w:rPr>
          <w:rStyle w:val="Funotenzeichen"/>
          <w:rFonts w:ascii="Times New Roman" w:hAnsi="Times New Roman" w:cs="Times New Roman"/>
        </w:rPr>
        <w:footnoteRef/>
      </w:r>
      <w:r w:rsidRPr="00F22180">
        <w:rPr>
          <w:rFonts w:ascii="Times New Roman" w:hAnsi="Times New Roman" w:cs="Times New Roman"/>
        </w:rPr>
        <w:t xml:space="preserve"> Yuan Yida and Zhang C, “Chinese Surnames: Community Heredity and Population Distribution”, East Normal University Press, 2002 (in Chinese)</w:t>
      </w:r>
    </w:p>
  </w:footnote>
  <w:footnote w:id="8">
    <w:p w14:paraId="3B0811BC" w14:textId="38914853" w:rsidR="00BA42D7" w:rsidRPr="00F22180" w:rsidRDefault="00BA42D7" w:rsidP="00F22180">
      <w:pPr>
        <w:pStyle w:val="Funotentext"/>
        <w:jc w:val="both"/>
        <w:rPr>
          <w:rFonts w:ascii="Times New Roman" w:hAnsi="Times New Roman" w:cs="Times New Roman"/>
        </w:rPr>
      </w:pPr>
      <w:r w:rsidRPr="00F22180">
        <w:rPr>
          <w:rStyle w:val="Funotenzeichen"/>
          <w:rFonts w:ascii="Times New Roman" w:hAnsi="Times New Roman" w:cs="Times New Roman"/>
        </w:rPr>
        <w:footnoteRef/>
      </w:r>
      <w:r w:rsidRPr="00F22180">
        <w:rPr>
          <w:rFonts w:ascii="Times New Roman" w:hAnsi="Times New Roman" w:cs="Times New Roman"/>
        </w:rPr>
        <w:t xml:space="preserve"> Gu Yanwu, “Record of Daily Knowledge and Collected Poems and Essays: Selections”,</w:t>
      </w:r>
      <w:r w:rsidR="004B6725" w:rsidRPr="00F22180">
        <w:rPr>
          <w:rFonts w:ascii="Times New Roman" w:hAnsi="Times New Roman" w:cs="Times New Roman"/>
        </w:rPr>
        <w:t xml:space="preserve"> </w:t>
      </w:r>
      <w:r w:rsidRPr="00F22180">
        <w:rPr>
          <w:rFonts w:ascii="Times New Roman" w:hAnsi="Times New Roman" w:cs="Times New Roman"/>
        </w:rPr>
        <w:t>Translated and edited by Ian Johnston, Columbia University Press, 2017</w:t>
      </w:r>
      <w:r w:rsidR="004B6725" w:rsidRPr="00F22180">
        <w:rPr>
          <w:rFonts w:ascii="Times New Roman" w:hAnsi="Times New Roman" w:cs="Times New Roman"/>
        </w:rPr>
        <w:t>, Section 23.</w:t>
      </w:r>
    </w:p>
  </w:footnote>
  <w:footnote w:id="9">
    <w:p w14:paraId="46C8275A" w14:textId="0817E022" w:rsidR="004A52B6" w:rsidRPr="00F22180" w:rsidRDefault="004A52B6" w:rsidP="00F22180">
      <w:pPr>
        <w:pStyle w:val="Funotentext"/>
        <w:jc w:val="both"/>
        <w:rPr>
          <w:rFonts w:ascii="Times New Roman" w:hAnsi="Times New Roman" w:cs="Times New Roman"/>
        </w:rPr>
      </w:pPr>
      <w:r w:rsidRPr="00F22180">
        <w:rPr>
          <w:rStyle w:val="Funotenzeichen"/>
          <w:rFonts w:ascii="Times New Roman" w:hAnsi="Times New Roman" w:cs="Times New Roman"/>
        </w:rPr>
        <w:footnoteRef/>
      </w:r>
      <w:r w:rsidRPr="00F22180">
        <w:rPr>
          <w:rFonts w:ascii="Times New Roman" w:hAnsi="Times New Roman" w:cs="Times New Roman"/>
        </w:rPr>
        <w:t xml:space="preserve"> P.H.Reaney, “The Origin of English Surnames”, Routledge, 1967,p.315</w:t>
      </w:r>
    </w:p>
  </w:footnote>
  <w:footnote w:id="10">
    <w:p w14:paraId="318A6B1E" w14:textId="05B7B6F9" w:rsidR="00666BF6" w:rsidRPr="00F22180" w:rsidRDefault="00666BF6" w:rsidP="00F22180">
      <w:pPr>
        <w:pStyle w:val="Funotentext"/>
        <w:jc w:val="both"/>
        <w:rPr>
          <w:rFonts w:ascii="Times New Roman" w:hAnsi="Times New Roman" w:cs="Times New Roman"/>
        </w:rPr>
      </w:pPr>
      <w:r w:rsidRPr="00F22180">
        <w:rPr>
          <w:rStyle w:val="Funotenzeichen"/>
          <w:rFonts w:ascii="Times New Roman" w:hAnsi="Times New Roman" w:cs="Times New Roman"/>
        </w:rPr>
        <w:footnoteRef/>
      </w:r>
      <w:r w:rsidRPr="00F22180">
        <w:rPr>
          <w:rFonts w:ascii="Times New Roman" w:hAnsi="Times New Roman" w:cs="Times New Roman"/>
        </w:rPr>
        <w:t xml:space="preserve"> Tang Tsou, “Marxism, the Leninist Party, the Mass</w:t>
      </w:r>
      <w:r w:rsidR="000F6D64" w:rsidRPr="00F22180">
        <w:rPr>
          <w:rFonts w:ascii="Times New Roman" w:hAnsi="Times New Roman" w:cs="Times New Roman"/>
        </w:rPr>
        <w:t>es</w:t>
      </w:r>
      <w:r w:rsidRPr="00F22180">
        <w:rPr>
          <w:rFonts w:ascii="Times New Roman" w:hAnsi="Times New Roman" w:cs="Times New Roman"/>
        </w:rPr>
        <w:t xml:space="preserve"> and the Citizens in the Rebuilding of the Chinese State”</w:t>
      </w:r>
      <w:r w:rsidR="00B253E4" w:rsidRPr="00F22180">
        <w:rPr>
          <w:rFonts w:ascii="Times New Roman" w:hAnsi="Times New Roman" w:cs="Times New Roman"/>
        </w:rPr>
        <w:t>, in “Foundations and Limits of State Power in China”, edited by Stuart Schram, European Science Foundation, 1987, p.266.</w:t>
      </w:r>
    </w:p>
  </w:footnote>
  <w:footnote w:id="11">
    <w:p w14:paraId="5E6D3865" w14:textId="764B4E2B" w:rsidR="000316EE" w:rsidRPr="00F22180" w:rsidRDefault="000316EE" w:rsidP="00F22180">
      <w:pPr>
        <w:pStyle w:val="Funotentext"/>
        <w:jc w:val="both"/>
        <w:rPr>
          <w:rFonts w:ascii="Times New Roman" w:hAnsi="Times New Roman" w:cs="Times New Roman"/>
        </w:rPr>
      </w:pPr>
      <w:r w:rsidRPr="00F22180">
        <w:rPr>
          <w:rStyle w:val="Funotenzeichen"/>
          <w:rFonts w:ascii="Times New Roman" w:hAnsi="Times New Roman" w:cs="Times New Roman"/>
        </w:rPr>
        <w:footnoteRef/>
      </w:r>
      <w:r w:rsidRPr="00F22180">
        <w:rPr>
          <w:rFonts w:ascii="Times New Roman" w:hAnsi="Times New Roman" w:cs="Times New Roman"/>
        </w:rPr>
        <w:t xml:space="preserve"> </w:t>
      </w:r>
      <w:hyperlink r:id="rId1" w:history="1">
        <w:r w:rsidRPr="00F22180">
          <w:rPr>
            <w:rStyle w:val="Hyperlink"/>
            <w:rFonts w:ascii="Times New Roman" w:hAnsi="Times New Roman" w:cs="Times New Roman"/>
            <w:color w:val="auto"/>
            <w:lang w:val="en-GB"/>
          </w:rPr>
          <w:t>https://edition.cnn.com/2021/09/02/tech/china-didi-jd-labor-unions-intl-hnk/index.html</w:t>
        </w:r>
      </w:hyperlink>
    </w:p>
  </w:footnote>
  <w:footnote w:id="12">
    <w:p w14:paraId="6449EDF0" w14:textId="04095D42" w:rsidR="00010BAD" w:rsidRPr="00F22180" w:rsidRDefault="00010BAD" w:rsidP="00F22180">
      <w:pPr>
        <w:pStyle w:val="Funotentext"/>
        <w:jc w:val="both"/>
        <w:rPr>
          <w:rFonts w:ascii="Times New Roman" w:hAnsi="Times New Roman" w:cs="Times New Roman"/>
        </w:rPr>
      </w:pPr>
      <w:r w:rsidRPr="00F22180">
        <w:rPr>
          <w:rStyle w:val="Funotenzeichen"/>
          <w:rFonts w:ascii="Times New Roman" w:hAnsi="Times New Roman" w:cs="Times New Roman"/>
        </w:rPr>
        <w:footnoteRef/>
      </w:r>
      <w:r w:rsidRPr="00F22180">
        <w:rPr>
          <w:rFonts w:ascii="Times New Roman" w:hAnsi="Times New Roman" w:cs="Times New Roman"/>
        </w:rPr>
        <w:t xml:space="preserve"> In the Electoral Law of 1979, the population represented by a rural delegate is 4 times as high as the population represented by </w:t>
      </w:r>
      <w:r w:rsidR="003018E1" w:rsidRPr="00F22180">
        <w:rPr>
          <w:rFonts w:ascii="Times New Roman" w:hAnsi="Times New Roman" w:cs="Times New Roman"/>
        </w:rPr>
        <w:t xml:space="preserve">one </w:t>
      </w:r>
      <w:r w:rsidRPr="00F22180">
        <w:rPr>
          <w:rFonts w:ascii="Times New Roman" w:hAnsi="Times New Roman" w:cs="Times New Roman"/>
        </w:rPr>
        <w:t>urban delegate.</w:t>
      </w:r>
      <w:r w:rsidR="009F39A9" w:rsidRPr="00F22180">
        <w:rPr>
          <w:rFonts w:ascii="Times New Roman" w:hAnsi="Times New Roman" w:cs="Times New Roman"/>
          <w:kern w:val="24"/>
          <w:sz w:val="56"/>
          <w:szCs w:val="56"/>
        </w:rPr>
        <w:t xml:space="preserve"> </w:t>
      </w:r>
      <w:r w:rsidR="009F39A9" w:rsidRPr="00F22180">
        <w:rPr>
          <w:rFonts w:ascii="Times New Roman" w:hAnsi="Times New Roman" w:cs="Times New Roman"/>
        </w:rPr>
        <w:t>In the 2010 Amendment, equal proportion of rural and urban representation is stipulated.</w:t>
      </w:r>
    </w:p>
  </w:footnote>
  <w:footnote w:id="13">
    <w:p w14:paraId="68EEC138" w14:textId="1D094D04" w:rsidR="003018E1" w:rsidRPr="00F22180" w:rsidRDefault="003018E1" w:rsidP="00F22180">
      <w:pPr>
        <w:pStyle w:val="Funotentext"/>
        <w:jc w:val="both"/>
        <w:rPr>
          <w:rFonts w:ascii="Times New Roman" w:hAnsi="Times New Roman" w:cs="Times New Roman"/>
        </w:rPr>
      </w:pPr>
      <w:r w:rsidRPr="00F22180">
        <w:rPr>
          <w:rStyle w:val="Funotenzeichen"/>
          <w:rFonts w:ascii="Times New Roman" w:hAnsi="Times New Roman" w:cs="Times New Roman"/>
        </w:rPr>
        <w:footnoteRef/>
      </w:r>
      <w:r w:rsidRPr="00F22180">
        <w:rPr>
          <w:rFonts w:ascii="Times New Roman" w:hAnsi="Times New Roman" w:cs="Times New Roman"/>
        </w:rPr>
        <w:t xml:space="preserve"> Pierre Rosanvallon, “The Society of Equals”, Harvard University Press, </w:t>
      </w:r>
      <w:r w:rsidR="004B1CB6" w:rsidRPr="00F22180">
        <w:rPr>
          <w:rFonts w:ascii="Times New Roman" w:hAnsi="Times New Roman" w:cs="Times New Roman"/>
        </w:rPr>
        <w:t>2013, p.1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11CB9"/>
    <w:multiLevelType w:val="hybridMultilevel"/>
    <w:tmpl w:val="509E2FB6"/>
    <w:lvl w:ilvl="0" w:tplc="AC3E502A">
      <w:start w:val="1"/>
      <w:numFmt w:val="bullet"/>
      <w:lvlText w:val="•"/>
      <w:lvlJc w:val="left"/>
      <w:pPr>
        <w:tabs>
          <w:tab w:val="num" w:pos="720"/>
        </w:tabs>
        <w:ind w:left="720" w:hanging="360"/>
      </w:pPr>
      <w:rPr>
        <w:rFonts w:ascii="Arial" w:hAnsi="Arial" w:hint="default"/>
      </w:rPr>
    </w:lvl>
    <w:lvl w:ilvl="1" w:tplc="EA6A9A74" w:tentative="1">
      <w:start w:val="1"/>
      <w:numFmt w:val="bullet"/>
      <w:lvlText w:val="•"/>
      <w:lvlJc w:val="left"/>
      <w:pPr>
        <w:tabs>
          <w:tab w:val="num" w:pos="1440"/>
        </w:tabs>
        <w:ind w:left="1440" w:hanging="360"/>
      </w:pPr>
      <w:rPr>
        <w:rFonts w:ascii="Arial" w:hAnsi="Arial" w:hint="default"/>
      </w:rPr>
    </w:lvl>
    <w:lvl w:ilvl="2" w:tplc="F30CDE80" w:tentative="1">
      <w:start w:val="1"/>
      <w:numFmt w:val="bullet"/>
      <w:lvlText w:val="•"/>
      <w:lvlJc w:val="left"/>
      <w:pPr>
        <w:tabs>
          <w:tab w:val="num" w:pos="2160"/>
        </w:tabs>
        <w:ind w:left="2160" w:hanging="360"/>
      </w:pPr>
      <w:rPr>
        <w:rFonts w:ascii="Arial" w:hAnsi="Arial" w:hint="default"/>
      </w:rPr>
    </w:lvl>
    <w:lvl w:ilvl="3" w:tplc="59D81AEA" w:tentative="1">
      <w:start w:val="1"/>
      <w:numFmt w:val="bullet"/>
      <w:lvlText w:val="•"/>
      <w:lvlJc w:val="left"/>
      <w:pPr>
        <w:tabs>
          <w:tab w:val="num" w:pos="2880"/>
        </w:tabs>
        <w:ind w:left="2880" w:hanging="360"/>
      </w:pPr>
      <w:rPr>
        <w:rFonts w:ascii="Arial" w:hAnsi="Arial" w:hint="default"/>
      </w:rPr>
    </w:lvl>
    <w:lvl w:ilvl="4" w:tplc="CAF46808" w:tentative="1">
      <w:start w:val="1"/>
      <w:numFmt w:val="bullet"/>
      <w:lvlText w:val="•"/>
      <w:lvlJc w:val="left"/>
      <w:pPr>
        <w:tabs>
          <w:tab w:val="num" w:pos="3600"/>
        </w:tabs>
        <w:ind w:left="3600" w:hanging="360"/>
      </w:pPr>
      <w:rPr>
        <w:rFonts w:ascii="Arial" w:hAnsi="Arial" w:hint="default"/>
      </w:rPr>
    </w:lvl>
    <w:lvl w:ilvl="5" w:tplc="622A65B0" w:tentative="1">
      <w:start w:val="1"/>
      <w:numFmt w:val="bullet"/>
      <w:lvlText w:val="•"/>
      <w:lvlJc w:val="left"/>
      <w:pPr>
        <w:tabs>
          <w:tab w:val="num" w:pos="4320"/>
        </w:tabs>
        <w:ind w:left="4320" w:hanging="360"/>
      </w:pPr>
      <w:rPr>
        <w:rFonts w:ascii="Arial" w:hAnsi="Arial" w:hint="default"/>
      </w:rPr>
    </w:lvl>
    <w:lvl w:ilvl="6" w:tplc="AED849C8" w:tentative="1">
      <w:start w:val="1"/>
      <w:numFmt w:val="bullet"/>
      <w:lvlText w:val="•"/>
      <w:lvlJc w:val="left"/>
      <w:pPr>
        <w:tabs>
          <w:tab w:val="num" w:pos="5040"/>
        </w:tabs>
        <w:ind w:left="5040" w:hanging="360"/>
      </w:pPr>
      <w:rPr>
        <w:rFonts w:ascii="Arial" w:hAnsi="Arial" w:hint="default"/>
      </w:rPr>
    </w:lvl>
    <w:lvl w:ilvl="7" w:tplc="DFF8D53A" w:tentative="1">
      <w:start w:val="1"/>
      <w:numFmt w:val="bullet"/>
      <w:lvlText w:val="•"/>
      <w:lvlJc w:val="left"/>
      <w:pPr>
        <w:tabs>
          <w:tab w:val="num" w:pos="5760"/>
        </w:tabs>
        <w:ind w:left="5760" w:hanging="360"/>
      </w:pPr>
      <w:rPr>
        <w:rFonts w:ascii="Arial" w:hAnsi="Arial" w:hint="default"/>
      </w:rPr>
    </w:lvl>
    <w:lvl w:ilvl="8" w:tplc="BC66345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3177AF5"/>
    <w:multiLevelType w:val="hybridMultilevel"/>
    <w:tmpl w:val="B62E8416"/>
    <w:lvl w:ilvl="0" w:tplc="DF520B82">
      <w:start w:val="1"/>
      <w:numFmt w:val="bullet"/>
      <w:lvlText w:val="•"/>
      <w:lvlJc w:val="left"/>
      <w:pPr>
        <w:tabs>
          <w:tab w:val="num" w:pos="720"/>
        </w:tabs>
        <w:ind w:left="720" w:hanging="360"/>
      </w:pPr>
      <w:rPr>
        <w:rFonts w:ascii="Arial" w:hAnsi="Arial" w:hint="default"/>
      </w:rPr>
    </w:lvl>
    <w:lvl w:ilvl="1" w:tplc="C2409284" w:tentative="1">
      <w:start w:val="1"/>
      <w:numFmt w:val="bullet"/>
      <w:lvlText w:val="•"/>
      <w:lvlJc w:val="left"/>
      <w:pPr>
        <w:tabs>
          <w:tab w:val="num" w:pos="1440"/>
        </w:tabs>
        <w:ind w:left="1440" w:hanging="360"/>
      </w:pPr>
      <w:rPr>
        <w:rFonts w:ascii="Arial" w:hAnsi="Arial" w:hint="default"/>
      </w:rPr>
    </w:lvl>
    <w:lvl w:ilvl="2" w:tplc="6714F0DC" w:tentative="1">
      <w:start w:val="1"/>
      <w:numFmt w:val="bullet"/>
      <w:lvlText w:val="•"/>
      <w:lvlJc w:val="left"/>
      <w:pPr>
        <w:tabs>
          <w:tab w:val="num" w:pos="2160"/>
        </w:tabs>
        <w:ind w:left="2160" w:hanging="360"/>
      </w:pPr>
      <w:rPr>
        <w:rFonts w:ascii="Arial" w:hAnsi="Arial" w:hint="default"/>
      </w:rPr>
    </w:lvl>
    <w:lvl w:ilvl="3" w:tplc="AC5A7F0A" w:tentative="1">
      <w:start w:val="1"/>
      <w:numFmt w:val="bullet"/>
      <w:lvlText w:val="•"/>
      <w:lvlJc w:val="left"/>
      <w:pPr>
        <w:tabs>
          <w:tab w:val="num" w:pos="2880"/>
        </w:tabs>
        <w:ind w:left="2880" w:hanging="360"/>
      </w:pPr>
      <w:rPr>
        <w:rFonts w:ascii="Arial" w:hAnsi="Arial" w:hint="default"/>
      </w:rPr>
    </w:lvl>
    <w:lvl w:ilvl="4" w:tplc="3704F448" w:tentative="1">
      <w:start w:val="1"/>
      <w:numFmt w:val="bullet"/>
      <w:lvlText w:val="•"/>
      <w:lvlJc w:val="left"/>
      <w:pPr>
        <w:tabs>
          <w:tab w:val="num" w:pos="3600"/>
        </w:tabs>
        <w:ind w:left="3600" w:hanging="360"/>
      </w:pPr>
      <w:rPr>
        <w:rFonts w:ascii="Arial" w:hAnsi="Arial" w:hint="default"/>
      </w:rPr>
    </w:lvl>
    <w:lvl w:ilvl="5" w:tplc="2990DB60" w:tentative="1">
      <w:start w:val="1"/>
      <w:numFmt w:val="bullet"/>
      <w:lvlText w:val="•"/>
      <w:lvlJc w:val="left"/>
      <w:pPr>
        <w:tabs>
          <w:tab w:val="num" w:pos="4320"/>
        </w:tabs>
        <w:ind w:left="4320" w:hanging="360"/>
      </w:pPr>
      <w:rPr>
        <w:rFonts w:ascii="Arial" w:hAnsi="Arial" w:hint="default"/>
      </w:rPr>
    </w:lvl>
    <w:lvl w:ilvl="6" w:tplc="7BB408F8" w:tentative="1">
      <w:start w:val="1"/>
      <w:numFmt w:val="bullet"/>
      <w:lvlText w:val="•"/>
      <w:lvlJc w:val="left"/>
      <w:pPr>
        <w:tabs>
          <w:tab w:val="num" w:pos="5040"/>
        </w:tabs>
        <w:ind w:left="5040" w:hanging="360"/>
      </w:pPr>
      <w:rPr>
        <w:rFonts w:ascii="Arial" w:hAnsi="Arial" w:hint="default"/>
      </w:rPr>
    </w:lvl>
    <w:lvl w:ilvl="7" w:tplc="84E02F6A" w:tentative="1">
      <w:start w:val="1"/>
      <w:numFmt w:val="bullet"/>
      <w:lvlText w:val="•"/>
      <w:lvlJc w:val="left"/>
      <w:pPr>
        <w:tabs>
          <w:tab w:val="num" w:pos="5760"/>
        </w:tabs>
        <w:ind w:left="5760" w:hanging="360"/>
      </w:pPr>
      <w:rPr>
        <w:rFonts w:ascii="Arial" w:hAnsi="Arial" w:hint="default"/>
      </w:rPr>
    </w:lvl>
    <w:lvl w:ilvl="8" w:tplc="447A5B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D5C13D5"/>
    <w:multiLevelType w:val="hybridMultilevel"/>
    <w:tmpl w:val="17EC0A98"/>
    <w:lvl w:ilvl="0" w:tplc="E136812E">
      <w:start w:val="1"/>
      <w:numFmt w:val="bullet"/>
      <w:lvlText w:val="•"/>
      <w:lvlJc w:val="left"/>
      <w:pPr>
        <w:tabs>
          <w:tab w:val="num" w:pos="720"/>
        </w:tabs>
        <w:ind w:left="720" w:hanging="360"/>
      </w:pPr>
      <w:rPr>
        <w:rFonts w:ascii="Arial" w:hAnsi="Arial" w:hint="default"/>
      </w:rPr>
    </w:lvl>
    <w:lvl w:ilvl="1" w:tplc="3D204A5A" w:tentative="1">
      <w:start w:val="1"/>
      <w:numFmt w:val="bullet"/>
      <w:lvlText w:val="•"/>
      <w:lvlJc w:val="left"/>
      <w:pPr>
        <w:tabs>
          <w:tab w:val="num" w:pos="1440"/>
        </w:tabs>
        <w:ind w:left="1440" w:hanging="360"/>
      </w:pPr>
      <w:rPr>
        <w:rFonts w:ascii="Arial" w:hAnsi="Arial" w:hint="default"/>
      </w:rPr>
    </w:lvl>
    <w:lvl w:ilvl="2" w:tplc="B1407BAE" w:tentative="1">
      <w:start w:val="1"/>
      <w:numFmt w:val="bullet"/>
      <w:lvlText w:val="•"/>
      <w:lvlJc w:val="left"/>
      <w:pPr>
        <w:tabs>
          <w:tab w:val="num" w:pos="2160"/>
        </w:tabs>
        <w:ind w:left="2160" w:hanging="360"/>
      </w:pPr>
      <w:rPr>
        <w:rFonts w:ascii="Arial" w:hAnsi="Arial" w:hint="default"/>
      </w:rPr>
    </w:lvl>
    <w:lvl w:ilvl="3" w:tplc="2638B594" w:tentative="1">
      <w:start w:val="1"/>
      <w:numFmt w:val="bullet"/>
      <w:lvlText w:val="•"/>
      <w:lvlJc w:val="left"/>
      <w:pPr>
        <w:tabs>
          <w:tab w:val="num" w:pos="2880"/>
        </w:tabs>
        <w:ind w:left="2880" w:hanging="360"/>
      </w:pPr>
      <w:rPr>
        <w:rFonts w:ascii="Arial" w:hAnsi="Arial" w:hint="default"/>
      </w:rPr>
    </w:lvl>
    <w:lvl w:ilvl="4" w:tplc="6C26679C" w:tentative="1">
      <w:start w:val="1"/>
      <w:numFmt w:val="bullet"/>
      <w:lvlText w:val="•"/>
      <w:lvlJc w:val="left"/>
      <w:pPr>
        <w:tabs>
          <w:tab w:val="num" w:pos="3600"/>
        </w:tabs>
        <w:ind w:left="3600" w:hanging="360"/>
      </w:pPr>
      <w:rPr>
        <w:rFonts w:ascii="Arial" w:hAnsi="Arial" w:hint="default"/>
      </w:rPr>
    </w:lvl>
    <w:lvl w:ilvl="5" w:tplc="43A2230A" w:tentative="1">
      <w:start w:val="1"/>
      <w:numFmt w:val="bullet"/>
      <w:lvlText w:val="•"/>
      <w:lvlJc w:val="left"/>
      <w:pPr>
        <w:tabs>
          <w:tab w:val="num" w:pos="4320"/>
        </w:tabs>
        <w:ind w:left="4320" w:hanging="360"/>
      </w:pPr>
      <w:rPr>
        <w:rFonts w:ascii="Arial" w:hAnsi="Arial" w:hint="default"/>
      </w:rPr>
    </w:lvl>
    <w:lvl w:ilvl="6" w:tplc="7B8E8534" w:tentative="1">
      <w:start w:val="1"/>
      <w:numFmt w:val="bullet"/>
      <w:lvlText w:val="•"/>
      <w:lvlJc w:val="left"/>
      <w:pPr>
        <w:tabs>
          <w:tab w:val="num" w:pos="5040"/>
        </w:tabs>
        <w:ind w:left="5040" w:hanging="360"/>
      </w:pPr>
      <w:rPr>
        <w:rFonts w:ascii="Arial" w:hAnsi="Arial" w:hint="default"/>
      </w:rPr>
    </w:lvl>
    <w:lvl w:ilvl="7" w:tplc="8482E494" w:tentative="1">
      <w:start w:val="1"/>
      <w:numFmt w:val="bullet"/>
      <w:lvlText w:val="•"/>
      <w:lvlJc w:val="left"/>
      <w:pPr>
        <w:tabs>
          <w:tab w:val="num" w:pos="5760"/>
        </w:tabs>
        <w:ind w:left="5760" w:hanging="360"/>
      </w:pPr>
      <w:rPr>
        <w:rFonts w:ascii="Arial" w:hAnsi="Arial" w:hint="default"/>
      </w:rPr>
    </w:lvl>
    <w:lvl w:ilvl="8" w:tplc="7D3CEB16" w:tentative="1">
      <w:start w:val="1"/>
      <w:numFmt w:val="bullet"/>
      <w:lvlText w:val="•"/>
      <w:lvlJc w:val="left"/>
      <w:pPr>
        <w:tabs>
          <w:tab w:val="num" w:pos="6480"/>
        </w:tabs>
        <w:ind w:left="6480" w:hanging="360"/>
      </w:pPr>
      <w:rPr>
        <w:rFonts w:ascii="Arial" w:hAnsi="Arial" w:hint="default"/>
      </w:rPr>
    </w:lvl>
  </w:abstractNum>
  <w:num w:numId="1" w16cid:durableId="836533878">
    <w:abstractNumId w:val="1"/>
  </w:num>
  <w:num w:numId="2" w16cid:durableId="1570842438">
    <w:abstractNumId w:val="0"/>
  </w:num>
  <w:num w:numId="3" w16cid:durableId="1684013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8F4"/>
    <w:rsid w:val="00010BAD"/>
    <w:rsid w:val="000316EE"/>
    <w:rsid w:val="00034BC6"/>
    <w:rsid w:val="00043164"/>
    <w:rsid w:val="00071849"/>
    <w:rsid w:val="00071AF3"/>
    <w:rsid w:val="000B5EC9"/>
    <w:rsid w:val="000C7A97"/>
    <w:rsid w:val="000E4049"/>
    <w:rsid w:val="000F0A06"/>
    <w:rsid w:val="000F6D64"/>
    <w:rsid w:val="00121838"/>
    <w:rsid w:val="001505B7"/>
    <w:rsid w:val="00151224"/>
    <w:rsid w:val="00195DD2"/>
    <w:rsid w:val="001C31F3"/>
    <w:rsid w:val="001C4956"/>
    <w:rsid w:val="001E6D0C"/>
    <w:rsid w:val="001F2FD6"/>
    <w:rsid w:val="002130F1"/>
    <w:rsid w:val="002226BA"/>
    <w:rsid w:val="00260B3A"/>
    <w:rsid w:val="00263849"/>
    <w:rsid w:val="00282245"/>
    <w:rsid w:val="00296234"/>
    <w:rsid w:val="002C0CC8"/>
    <w:rsid w:val="002C3204"/>
    <w:rsid w:val="003018E1"/>
    <w:rsid w:val="0031161A"/>
    <w:rsid w:val="00340AF8"/>
    <w:rsid w:val="00342700"/>
    <w:rsid w:val="00392922"/>
    <w:rsid w:val="00414D86"/>
    <w:rsid w:val="00416A04"/>
    <w:rsid w:val="0042769B"/>
    <w:rsid w:val="004349D0"/>
    <w:rsid w:val="00474301"/>
    <w:rsid w:val="00491FCA"/>
    <w:rsid w:val="004A52B6"/>
    <w:rsid w:val="004B1CB6"/>
    <w:rsid w:val="004B6725"/>
    <w:rsid w:val="004E7066"/>
    <w:rsid w:val="00532248"/>
    <w:rsid w:val="00541E1B"/>
    <w:rsid w:val="0057468C"/>
    <w:rsid w:val="00595C1E"/>
    <w:rsid w:val="005969E3"/>
    <w:rsid w:val="005C74B7"/>
    <w:rsid w:val="005D4315"/>
    <w:rsid w:val="00601E48"/>
    <w:rsid w:val="00617FA6"/>
    <w:rsid w:val="00666BF6"/>
    <w:rsid w:val="00670BBC"/>
    <w:rsid w:val="0067164D"/>
    <w:rsid w:val="006C0CBC"/>
    <w:rsid w:val="0070417A"/>
    <w:rsid w:val="00740D03"/>
    <w:rsid w:val="00763EB0"/>
    <w:rsid w:val="00765533"/>
    <w:rsid w:val="0077375F"/>
    <w:rsid w:val="007752B8"/>
    <w:rsid w:val="007A76DB"/>
    <w:rsid w:val="007C55EA"/>
    <w:rsid w:val="007E34D8"/>
    <w:rsid w:val="007F0605"/>
    <w:rsid w:val="007F307A"/>
    <w:rsid w:val="00804E39"/>
    <w:rsid w:val="00823AE0"/>
    <w:rsid w:val="008874EF"/>
    <w:rsid w:val="008B5095"/>
    <w:rsid w:val="008D54C5"/>
    <w:rsid w:val="00912733"/>
    <w:rsid w:val="00967F75"/>
    <w:rsid w:val="00976E4C"/>
    <w:rsid w:val="00992015"/>
    <w:rsid w:val="009A57E1"/>
    <w:rsid w:val="009B600C"/>
    <w:rsid w:val="009C3288"/>
    <w:rsid w:val="009E4719"/>
    <w:rsid w:val="009F39A9"/>
    <w:rsid w:val="009F6CAE"/>
    <w:rsid w:val="00A012FB"/>
    <w:rsid w:val="00A03A35"/>
    <w:rsid w:val="00A04E5C"/>
    <w:rsid w:val="00A25063"/>
    <w:rsid w:val="00A2559E"/>
    <w:rsid w:val="00A7351E"/>
    <w:rsid w:val="00A8309B"/>
    <w:rsid w:val="00A8517F"/>
    <w:rsid w:val="00A95798"/>
    <w:rsid w:val="00B06BAB"/>
    <w:rsid w:val="00B253E4"/>
    <w:rsid w:val="00B50C91"/>
    <w:rsid w:val="00B525CE"/>
    <w:rsid w:val="00B66440"/>
    <w:rsid w:val="00BA42D7"/>
    <w:rsid w:val="00BC2F1D"/>
    <w:rsid w:val="00BC7963"/>
    <w:rsid w:val="00BF20F1"/>
    <w:rsid w:val="00C35BBF"/>
    <w:rsid w:val="00C45B41"/>
    <w:rsid w:val="00C505E0"/>
    <w:rsid w:val="00C9460A"/>
    <w:rsid w:val="00CA4DE5"/>
    <w:rsid w:val="00CF5FDA"/>
    <w:rsid w:val="00D02678"/>
    <w:rsid w:val="00D12A24"/>
    <w:rsid w:val="00D153E7"/>
    <w:rsid w:val="00D40A6E"/>
    <w:rsid w:val="00D62780"/>
    <w:rsid w:val="00D6302F"/>
    <w:rsid w:val="00D7388A"/>
    <w:rsid w:val="00DA35BF"/>
    <w:rsid w:val="00DD60B9"/>
    <w:rsid w:val="00E065DC"/>
    <w:rsid w:val="00E06A64"/>
    <w:rsid w:val="00E132D2"/>
    <w:rsid w:val="00E168F4"/>
    <w:rsid w:val="00E16D82"/>
    <w:rsid w:val="00E253C5"/>
    <w:rsid w:val="00E469E1"/>
    <w:rsid w:val="00E72D32"/>
    <w:rsid w:val="00EB2048"/>
    <w:rsid w:val="00F072CF"/>
    <w:rsid w:val="00F22180"/>
    <w:rsid w:val="00F26121"/>
    <w:rsid w:val="00F30723"/>
    <w:rsid w:val="00FA37B8"/>
    <w:rsid w:val="00FA70D3"/>
    <w:rsid w:val="00FB45A4"/>
    <w:rsid w:val="00FD1AEA"/>
    <w:rsid w:val="00FD2DFD"/>
    <w:rsid w:val="00FF3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2C12CFE"/>
  <w15:chartTrackingRefBased/>
  <w15:docId w15:val="{DBEA0141-5A5C-9E42-95CD-0C54AF25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1AEA"/>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469E1"/>
    <w:pPr>
      <w:widowControl/>
      <w:spacing w:before="100" w:beforeAutospacing="1" w:after="100" w:afterAutospacing="1"/>
      <w:jc w:val="left"/>
    </w:pPr>
    <w:rPr>
      <w:rFonts w:ascii="SimSun" w:eastAsia="SimSun" w:hAnsi="SimSun" w:cs="SimSun"/>
      <w:kern w:val="0"/>
      <w:sz w:val="24"/>
    </w:rPr>
  </w:style>
  <w:style w:type="paragraph" w:styleId="Funotentext">
    <w:name w:val="footnote text"/>
    <w:basedOn w:val="Standard"/>
    <w:link w:val="FunotentextZchn"/>
    <w:uiPriority w:val="99"/>
    <w:semiHidden/>
    <w:unhideWhenUsed/>
    <w:rsid w:val="00340AF8"/>
    <w:pPr>
      <w:snapToGrid w:val="0"/>
      <w:jc w:val="left"/>
    </w:pPr>
    <w:rPr>
      <w:sz w:val="18"/>
      <w:szCs w:val="18"/>
    </w:rPr>
  </w:style>
  <w:style w:type="character" w:customStyle="1" w:styleId="FunotentextZchn">
    <w:name w:val="Fußnotentext Zchn"/>
    <w:basedOn w:val="Absatz-Standardschriftart"/>
    <w:link w:val="Funotentext"/>
    <w:uiPriority w:val="99"/>
    <w:semiHidden/>
    <w:rsid w:val="00340AF8"/>
    <w:rPr>
      <w:sz w:val="18"/>
      <w:szCs w:val="18"/>
    </w:rPr>
  </w:style>
  <w:style w:type="character" w:styleId="Funotenzeichen">
    <w:name w:val="footnote reference"/>
    <w:basedOn w:val="Absatz-Standardschriftart"/>
    <w:uiPriority w:val="99"/>
    <w:semiHidden/>
    <w:unhideWhenUsed/>
    <w:rsid w:val="00340AF8"/>
    <w:rPr>
      <w:vertAlign w:val="superscript"/>
    </w:rPr>
  </w:style>
  <w:style w:type="paragraph" w:styleId="Listenabsatz">
    <w:name w:val="List Paragraph"/>
    <w:basedOn w:val="Standard"/>
    <w:uiPriority w:val="34"/>
    <w:qFormat/>
    <w:rsid w:val="0067164D"/>
    <w:pPr>
      <w:widowControl/>
      <w:ind w:firstLineChars="200" w:firstLine="420"/>
      <w:jc w:val="left"/>
    </w:pPr>
    <w:rPr>
      <w:rFonts w:ascii="SimSun" w:eastAsia="SimSun" w:hAnsi="SimSun" w:cs="SimSun"/>
      <w:kern w:val="0"/>
      <w:sz w:val="24"/>
    </w:rPr>
  </w:style>
  <w:style w:type="character" w:styleId="Hyperlink">
    <w:name w:val="Hyperlink"/>
    <w:basedOn w:val="Absatz-Standardschriftart"/>
    <w:uiPriority w:val="99"/>
    <w:unhideWhenUsed/>
    <w:rsid w:val="000316EE"/>
    <w:rPr>
      <w:color w:val="0563C1" w:themeColor="hyperlink"/>
      <w:u w:val="single"/>
    </w:rPr>
  </w:style>
  <w:style w:type="character" w:styleId="NichtaufgelsteErwhnung">
    <w:name w:val="Unresolved Mention"/>
    <w:basedOn w:val="Absatz-Standardschriftart"/>
    <w:uiPriority w:val="99"/>
    <w:semiHidden/>
    <w:unhideWhenUsed/>
    <w:rsid w:val="000316EE"/>
    <w:rPr>
      <w:color w:val="605E5C"/>
      <w:shd w:val="clear" w:color="auto" w:fill="E1DFDD"/>
    </w:rPr>
  </w:style>
  <w:style w:type="character" w:styleId="BesuchterLink">
    <w:name w:val="FollowedHyperlink"/>
    <w:basedOn w:val="Absatz-Standardschriftart"/>
    <w:uiPriority w:val="99"/>
    <w:semiHidden/>
    <w:unhideWhenUsed/>
    <w:rsid w:val="000316EE"/>
    <w:rPr>
      <w:color w:val="954F72" w:themeColor="followedHyperlink"/>
      <w:u w:val="single"/>
    </w:rPr>
  </w:style>
  <w:style w:type="table" w:styleId="Tabellenraster">
    <w:name w:val="Table Grid"/>
    <w:basedOn w:val="NormaleTabelle"/>
    <w:uiPriority w:val="39"/>
    <w:rsid w:val="00F22180"/>
    <w:rPr>
      <w:kern w:val="0"/>
      <w:sz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F22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443405">
      <w:bodyDiv w:val="1"/>
      <w:marLeft w:val="0"/>
      <w:marRight w:val="0"/>
      <w:marTop w:val="0"/>
      <w:marBottom w:val="0"/>
      <w:divBdr>
        <w:top w:val="none" w:sz="0" w:space="0" w:color="auto"/>
        <w:left w:val="none" w:sz="0" w:space="0" w:color="auto"/>
        <w:bottom w:val="none" w:sz="0" w:space="0" w:color="auto"/>
        <w:right w:val="none" w:sz="0" w:space="0" w:color="auto"/>
      </w:divBdr>
    </w:div>
    <w:div w:id="581372655">
      <w:bodyDiv w:val="1"/>
      <w:marLeft w:val="0"/>
      <w:marRight w:val="0"/>
      <w:marTop w:val="0"/>
      <w:marBottom w:val="0"/>
      <w:divBdr>
        <w:top w:val="none" w:sz="0" w:space="0" w:color="auto"/>
        <w:left w:val="none" w:sz="0" w:space="0" w:color="auto"/>
        <w:bottom w:val="none" w:sz="0" w:space="0" w:color="auto"/>
        <w:right w:val="none" w:sz="0" w:space="0" w:color="auto"/>
      </w:divBdr>
    </w:div>
    <w:div w:id="598560968">
      <w:bodyDiv w:val="1"/>
      <w:marLeft w:val="0"/>
      <w:marRight w:val="0"/>
      <w:marTop w:val="0"/>
      <w:marBottom w:val="0"/>
      <w:divBdr>
        <w:top w:val="none" w:sz="0" w:space="0" w:color="auto"/>
        <w:left w:val="none" w:sz="0" w:space="0" w:color="auto"/>
        <w:bottom w:val="none" w:sz="0" w:space="0" w:color="auto"/>
        <w:right w:val="none" w:sz="0" w:space="0" w:color="auto"/>
      </w:divBdr>
    </w:div>
    <w:div w:id="856503409">
      <w:bodyDiv w:val="1"/>
      <w:marLeft w:val="0"/>
      <w:marRight w:val="0"/>
      <w:marTop w:val="0"/>
      <w:marBottom w:val="0"/>
      <w:divBdr>
        <w:top w:val="none" w:sz="0" w:space="0" w:color="auto"/>
        <w:left w:val="none" w:sz="0" w:space="0" w:color="auto"/>
        <w:bottom w:val="none" w:sz="0" w:space="0" w:color="auto"/>
        <w:right w:val="none" w:sz="0" w:space="0" w:color="auto"/>
      </w:divBdr>
    </w:div>
    <w:div w:id="1170104262">
      <w:bodyDiv w:val="1"/>
      <w:marLeft w:val="0"/>
      <w:marRight w:val="0"/>
      <w:marTop w:val="0"/>
      <w:marBottom w:val="0"/>
      <w:divBdr>
        <w:top w:val="none" w:sz="0" w:space="0" w:color="auto"/>
        <w:left w:val="none" w:sz="0" w:space="0" w:color="auto"/>
        <w:bottom w:val="none" w:sz="0" w:space="0" w:color="auto"/>
        <w:right w:val="none" w:sz="0" w:space="0" w:color="auto"/>
      </w:divBdr>
    </w:div>
    <w:div w:id="1592425437">
      <w:bodyDiv w:val="1"/>
      <w:marLeft w:val="0"/>
      <w:marRight w:val="0"/>
      <w:marTop w:val="0"/>
      <w:marBottom w:val="0"/>
      <w:divBdr>
        <w:top w:val="none" w:sz="0" w:space="0" w:color="auto"/>
        <w:left w:val="none" w:sz="0" w:space="0" w:color="auto"/>
        <w:bottom w:val="none" w:sz="0" w:space="0" w:color="auto"/>
        <w:right w:val="none" w:sz="0" w:space="0" w:color="auto"/>
      </w:divBdr>
      <w:divsChild>
        <w:div w:id="469713377">
          <w:marLeft w:val="360"/>
          <w:marRight w:val="0"/>
          <w:marTop w:val="200"/>
          <w:marBottom w:val="0"/>
          <w:divBdr>
            <w:top w:val="none" w:sz="0" w:space="0" w:color="auto"/>
            <w:left w:val="none" w:sz="0" w:space="0" w:color="auto"/>
            <w:bottom w:val="none" w:sz="0" w:space="0" w:color="auto"/>
            <w:right w:val="none" w:sz="0" w:space="0" w:color="auto"/>
          </w:divBdr>
        </w:div>
      </w:divsChild>
    </w:div>
    <w:div w:id="1722904734">
      <w:bodyDiv w:val="1"/>
      <w:marLeft w:val="0"/>
      <w:marRight w:val="0"/>
      <w:marTop w:val="0"/>
      <w:marBottom w:val="0"/>
      <w:divBdr>
        <w:top w:val="none" w:sz="0" w:space="0" w:color="auto"/>
        <w:left w:val="none" w:sz="0" w:space="0" w:color="auto"/>
        <w:bottom w:val="none" w:sz="0" w:space="0" w:color="auto"/>
        <w:right w:val="none" w:sz="0" w:space="0" w:color="auto"/>
      </w:divBdr>
    </w:div>
    <w:div w:id="1910918873">
      <w:bodyDiv w:val="1"/>
      <w:marLeft w:val="0"/>
      <w:marRight w:val="0"/>
      <w:marTop w:val="0"/>
      <w:marBottom w:val="0"/>
      <w:divBdr>
        <w:top w:val="none" w:sz="0" w:space="0" w:color="auto"/>
        <w:left w:val="none" w:sz="0" w:space="0" w:color="auto"/>
        <w:bottom w:val="none" w:sz="0" w:space="0" w:color="auto"/>
        <w:right w:val="none" w:sz="0" w:space="0" w:color="auto"/>
      </w:divBdr>
      <w:divsChild>
        <w:div w:id="1775397845">
          <w:marLeft w:val="360"/>
          <w:marRight w:val="0"/>
          <w:marTop w:val="200"/>
          <w:marBottom w:val="0"/>
          <w:divBdr>
            <w:top w:val="none" w:sz="0" w:space="0" w:color="auto"/>
            <w:left w:val="none" w:sz="0" w:space="0" w:color="auto"/>
            <w:bottom w:val="none" w:sz="0" w:space="0" w:color="auto"/>
            <w:right w:val="none" w:sz="0" w:space="0" w:color="auto"/>
          </w:divBdr>
        </w:div>
      </w:divsChild>
    </w:div>
    <w:div w:id="2043898568">
      <w:bodyDiv w:val="1"/>
      <w:marLeft w:val="0"/>
      <w:marRight w:val="0"/>
      <w:marTop w:val="0"/>
      <w:marBottom w:val="0"/>
      <w:divBdr>
        <w:top w:val="none" w:sz="0" w:space="0" w:color="auto"/>
        <w:left w:val="none" w:sz="0" w:space="0" w:color="auto"/>
        <w:bottom w:val="none" w:sz="0" w:space="0" w:color="auto"/>
        <w:right w:val="none" w:sz="0" w:space="0" w:color="auto"/>
      </w:divBdr>
      <w:divsChild>
        <w:div w:id="121766118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dition.cnn.com/2021/09/02/tech/china-didi-jd-labor-unions-intl-hnk/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1036</Words>
  <Characters>6534</Characters>
  <Application>Microsoft Office Word</Application>
  <DocSecurity>0</DocSecurity>
  <Lines>54</Lines>
  <Paragraphs>15</Paragraphs>
  <ScaleCrop>false</ScaleCrop>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cui-zy@tsinghua.edu.cn</dc:creator>
  <cp:keywords/>
  <dc:description/>
  <cp:lastModifiedBy>Frederic Liu</cp:lastModifiedBy>
  <cp:revision>113</cp:revision>
  <dcterms:created xsi:type="dcterms:W3CDTF">2022-06-08T02:03:00Z</dcterms:created>
  <dcterms:modified xsi:type="dcterms:W3CDTF">2022-06-09T10:51:00Z</dcterms:modified>
</cp:coreProperties>
</file>