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8DF" w14:textId="77777777" w:rsidR="00C515B9" w:rsidRPr="006F5844" w:rsidRDefault="00C515B9" w:rsidP="00C515B9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bookmarkStart w:id="0" w:name="OLE_LINK12"/>
      <w:r w:rsidRPr="006F58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en-GB"/>
        </w:rPr>
        <w:t>equality /</w:t>
      </w:r>
      <w:r w:rsidRPr="00072783">
        <w:rPr>
          <w:rFonts w:ascii="Songti TC" w:eastAsia="Songti TC" w:hAnsi="Songti TC" w:cs="SimSun" w:hint="eastAsia"/>
          <w:b/>
          <w:bCs/>
          <w:color w:val="000000" w:themeColor="text1"/>
          <w:sz w:val="32"/>
          <w:szCs w:val="32"/>
        </w:rPr>
        <w:t>平等</w:t>
      </w:r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(</w:t>
      </w:r>
      <w:proofErr w:type="spellStart"/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Píng</w:t>
      </w:r>
      <w:proofErr w:type="spellEnd"/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Děng</w:t>
      </w:r>
      <w:proofErr w:type="spellEnd"/>
      <w:r w:rsidRPr="006F584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2116"/>
      </w:tblGrid>
      <w:tr w:rsidR="00C515B9" w14:paraId="195CBCBF" w14:textId="77777777" w:rsidTr="00512AA9">
        <w:trPr>
          <w:jc w:val="center"/>
        </w:trPr>
        <w:tc>
          <w:tcPr>
            <w:tcW w:w="2268" w:type="dxa"/>
          </w:tcPr>
          <w:p w14:paraId="232A03CB" w14:textId="77777777" w:rsidR="00C515B9" w:rsidRPr="00ED4DE0" w:rsidRDefault="00C515B9" w:rsidP="005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4678" w:type="dxa"/>
          </w:tcPr>
          <w:p w14:paraId="1DE03FBD" w14:textId="77777777" w:rsidR="00C515B9" w:rsidRPr="006247E3" w:rsidRDefault="00C515B9" w:rsidP="00512A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47E3">
              <w:rPr>
                <w:rFonts w:ascii="Times New Roman" w:hAnsi="Times New Roman" w:cs="Times New Roman"/>
                <w:lang w:val="en-US"/>
              </w:rPr>
              <w:t xml:space="preserve">Prof. Thomas GERGEN, </w:t>
            </w:r>
            <w:r>
              <w:rPr>
                <w:rFonts w:ascii="Times New Roman" w:hAnsi="Times New Roman" w:cs="Times New Roman"/>
                <w:lang w:val="en-US"/>
              </w:rPr>
              <w:t xml:space="preserve">Prof. </w:t>
            </w:r>
            <w:r w:rsidRPr="006247E3">
              <w:rPr>
                <w:rFonts w:ascii="Times New Roman" w:hAnsi="Times New Roman" w:cs="Times New Roman"/>
                <w:lang w:val="en-US"/>
              </w:rPr>
              <w:t xml:space="preserve">CUI </w:t>
            </w:r>
            <w:proofErr w:type="spellStart"/>
            <w:r w:rsidRPr="006247E3">
              <w:rPr>
                <w:rFonts w:ascii="Times New Roman" w:hAnsi="Times New Roman" w:cs="Times New Roman"/>
                <w:lang w:val="en-US"/>
              </w:rPr>
              <w:t>Zhiyuan</w:t>
            </w:r>
            <w:proofErr w:type="spellEnd"/>
          </w:p>
        </w:tc>
        <w:tc>
          <w:tcPr>
            <w:tcW w:w="2116" w:type="dxa"/>
          </w:tcPr>
          <w:p w14:paraId="3EFA09F4" w14:textId="77777777" w:rsidR="00C515B9" w:rsidRPr="00ED4DE0" w:rsidRDefault="00C515B9" w:rsidP="005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Jun 2022</w:t>
            </w:r>
          </w:p>
        </w:tc>
      </w:tr>
    </w:tbl>
    <w:bookmarkEnd w:id="0"/>
    <w:p w14:paraId="4DDA13B2" w14:textId="73BB10B7" w:rsidR="007213FF" w:rsidRPr="00C515B9" w:rsidRDefault="00E52BB8" w:rsidP="006561AB">
      <w:pPr>
        <w:spacing w:before="120" w:after="120"/>
        <w:ind w:leftChars="100" w:left="283" w:hangingChars="18" w:hanging="43"/>
        <w:jc w:val="both"/>
        <w:rPr>
          <w:rFonts w:ascii="Songti TC" w:eastAsia="Songti TC" w:hAnsi="Songti TC" w:cs="Times New Roman"/>
          <w:lang w:val="en-US"/>
        </w:rPr>
      </w:pPr>
      <w:r w:rsidRPr="00C515B9">
        <w:rPr>
          <w:rFonts w:ascii="Songti TC" w:eastAsia="Songti TC" w:hAnsi="Songti TC" w:cs="Times New Roman"/>
        </w:rPr>
        <w:t>托马斯·格根：此概念从属于自由、平等和社会福利的三重奏之中，它们相互交织在一起，只要宪法被加以考虑，这一术语在对待人身待遇的问题上便变得具体。作为一项基本权利，平等在民主政体中扮演着重要的角色，法律禁止歧视，也即工作场合和个人劳动法中的平等。</w:t>
      </w:r>
    </w:p>
    <w:p w14:paraId="616AEE54" w14:textId="77777777" w:rsidR="003239CB" w:rsidRPr="00C515B9" w:rsidRDefault="00E52BB8" w:rsidP="00587359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/>
        </w:rPr>
      </w:pPr>
      <w:r w:rsidRPr="00C515B9">
        <w:rPr>
          <w:rFonts w:ascii="Songti TC" w:eastAsia="Songti TC" w:hAnsi="Songti TC" w:cs="Times New Roman"/>
        </w:rPr>
        <w:t>男性和女性在法律面前是平等的，所有因多样性原因，而被法理学承认的生物意义上的性别，在后来都被纳入其中。宗教自由和良心自由，也被赋予了平等的待遇，其与自由的一项具体权利之架构相关相对。劳动法的一个信条是，雇主不得任意区别对待相似的雇员。</w:t>
      </w:r>
    </w:p>
    <w:p w14:paraId="41E70A27" w14:textId="49FC09A4" w:rsidR="007213FF" w:rsidRPr="00C515B9" w:rsidRDefault="00E52BB8" w:rsidP="00587359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/>
        </w:rPr>
      </w:pPr>
      <w:r w:rsidRPr="00C515B9">
        <w:rPr>
          <w:rFonts w:ascii="Songti TC" w:eastAsia="Songti TC" w:hAnsi="Songti TC" w:cs="Times New Roman"/>
        </w:rPr>
        <w:t>根据德国联邦最高劳工法院所制定的，劳动法中有关平等待遇的一般原则，雇主在并无客观理据的情形下，不得将个别雇员排除在他通常会提供给雇员团体的福利之外，即使这里没有法律义务（要求他）这样做。为此，团体的建立也不得肆意为之。藉由这种方式，基于宪法的平等，在个人（私法）中的第三人效应是生效的。这种效应的另一个范例，可见于在平等原则下对待继承人群体。</w:t>
      </w:r>
    </w:p>
    <w:p w14:paraId="514D4243" w14:textId="467B171E" w:rsidR="00273743" w:rsidRPr="00C515B9" w:rsidRDefault="00E52BB8" w:rsidP="00226F9F">
      <w:pPr>
        <w:spacing w:before="120" w:after="120"/>
        <w:ind w:leftChars="100" w:left="283" w:hangingChars="18" w:hanging="43"/>
        <w:jc w:val="both"/>
        <w:rPr>
          <w:rFonts w:ascii="Songti TC" w:eastAsia="Songti TC" w:hAnsi="Songti TC" w:cs="Times New Roman"/>
          <w:lang w:val="en-GB"/>
        </w:rPr>
      </w:pPr>
      <w:r w:rsidRPr="00C515B9">
        <w:rPr>
          <w:rFonts w:ascii="Songti TC" w:eastAsia="Songti TC" w:hAnsi="Songti TC" w:cs="Times New Roman"/>
        </w:rPr>
        <w:t>崔之元:亚历克西·德·托克维尔对“社会平等”与“政治平等”的区分，可帮助我们理解中国在历史上和现时代的“平等”概念。托克维尔进一步点出了，从社会平等到政治平等的“外溢趋势“：平等最终会渗入到政治的世界，就像它在其它任何地方那样。不可能去想象人们在某一方面永远不平等，但在其它方面却平等；他们必须，最终，在所有方面都（实现）平等</w:t>
      </w:r>
      <w:r w:rsidRPr="00C515B9">
        <w:rPr>
          <w:rStyle w:val="Funotenzeichen"/>
          <w:rFonts w:ascii="Songti TC" w:eastAsia="Songti TC" w:hAnsi="Songti TC" w:cs="Times New Roman"/>
          <w:lang w:val="en-GB"/>
        </w:rPr>
        <w:footnoteReference w:id="1"/>
      </w:r>
      <w:r w:rsidRPr="00C515B9">
        <w:rPr>
          <w:rFonts w:ascii="Songti TC" w:eastAsia="Songti TC" w:hAnsi="Songti TC" w:cs="Times New Roman"/>
        </w:rPr>
        <w:t>。</w:t>
      </w:r>
    </w:p>
    <w:p w14:paraId="7322E74C" w14:textId="672656DF" w:rsidR="000749D6" w:rsidRPr="00C515B9" w:rsidRDefault="00E52BB8" w:rsidP="00587359">
      <w:pPr>
        <w:spacing w:before="120" w:after="120"/>
        <w:ind w:left="284"/>
        <w:jc w:val="both"/>
        <w:rPr>
          <w:rFonts w:ascii="Songti TC" w:eastAsia="Songti TC" w:hAnsi="Songti TC" w:cs="Times New Roman"/>
          <w:lang w:val="en-US"/>
        </w:rPr>
      </w:pPr>
      <w:r w:rsidRPr="00C515B9">
        <w:rPr>
          <w:rFonts w:ascii="Songti TC" w:eastAsia="Songti TC" w:hAnsi="Songti TC" w:cs="Times New Roman"/>
        </w:rPr>
        <w:t>现行的中华人民共和国宪法第三十三条第二节规定：“中华人民共和国公民在法律面前一律平等。”然而直到2002年，第一个涉及“平等条款”的宪法的案件方才被提交到法庭。这缘由一家银行的招聘广告，要求求职者必须高于规定的身高</w:t>
      </w:r>
      <w:r w:rsidRPr="00C515B9">
        <w:rPr>
          <w:rStyle w:val="Funotenzeichen"/>
          <w:rFonts w:ascii="Songti TC" w:eastAsia="Songti TC" w:hAnsi="Songti TC" w:cs="Times New Roman"/>
          <w:lang w:val="en-US"/>
        </w:rPr>
        <w:footnoteReference w:id="2"/>
      </w:r>
      <w:r w:rsidRPr="00C515B9">
        <w:rPr>
          <w:rFonts w:ascii="Songti TC" w:eastAsia="Songti TC" w:hAnsi="Songti TC" w:cs="Times New Roman"/>
        </w:rPr>
        <w:t>。这一案例，很好地说明了从社会平等到政治平等的“外溢趋势”。让我们希望这一进程能（得到）进一步的发展。</w:t>
      </w:r>
    </w:p>
    <w:sectPr w:rsidR="000749D6" w:rsidRPr="00C515B9" w:rsidSect="00C515B9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A356" w14:textId="77777777" w:rsidR="00D02C2D" w:rsidRDefault="00D02C2D">
      <w:r>
        <w:separator/>
      </w:r>
    </w:p>
  </w:endnote>
  <w:endnote w:type="continuationSeparator" w:id="0">
    <w:p w14:paraId="671E8CC2" w14:textId="77777777" w:rsidR="00D02C2D" w:rsidRDefault="00D0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3742" w14:textId="77777777" w:rsidR="00D02C2D" w:rsidRDefault="00D02C2D" w:rsidP="00F92B6D">
      <w:r>
        <w:separator/>
      </w:r>
    </w:p>
  </w:footnote>
  <w:footnote w:type="continuationSeparator" w:id="0">
    <w:p w14:paraId="1E627303" w14:textId="77777777" w:rsidR="00D02C2D" w:rsidRDefault="00D02C2D" w:rsidP="00F92B6D">
      <w:r>
        <w:continuationSeparator/>
      </w:r>
    </w:p>
  </w:footnote>
  <w:footnote w:id="1">
    <w:p w14:paraId="49224F0D" w14:textId="584BC293" w:rsidR="00F92B6D" w:rsidRPr="00FA093A" w:rsidRDefault="00E52BB8" w:rsidP="00B2451F">
      <w:pPr>
        <w:pStyle w:val="Funotentext"/>
        <w:jc w:val="both"/>
        <w:rPr>
          <w:rFonts w:ascii="Microsoft YaHei" w:eastAsia="Microsoft YaHei" w:hAnsi="Microsoft YaHei" w:cs="Times New Roman"/>
          <w:lang w:val="en-US"/>
        </w:rPr>
      </w:pPr>
      <w:r w:rsidRPr="00FA093A">
        <w:rPr>
          <w:rStyle w:val="Funotenzeichen"/>
          <w:rFonts w:ascii="Microsoft YaHei" w:eastAsia="Microsoft YaHei" w:hAnsi="Microsoft YaHei" w:cs="Times New Roman"/>
        </w:rPr>
        <w:footnoteRef/>
      </w:r>
      <w:r w:rsidRPr="00FA093A">
        <w:rPr>
          <w:rFonts w:ascii="Microsoft YaHei" w:eastAsia="Microsoft YaHei" w:hAnsi="Microsoft YaHei" w:cs="SimSun"/>
        </w:rPr>
        <w:t>亚历克西·德·托克维尔，</w:t>
      </w:r>
      <w:r w:rsidRPr="00FA093A">
        <w:rPr>
          <w:rFonts w:ascii="Microsoft YaHei" w:eastAsia="Microsoft YaHei" w:hAnsi="Microsoft YaHei" w:cs="SimSun"/>
          <w:i/>
          <w:iCs/>
        </w:rPr>
        <w:t>《论美国的民主》</w:t>
      </w:r>
      <w:r w:rsidRPr="00FA093A">
        <w:rPr>
          <w:rFonts w:ascii="Microsoft YaHei" w:eastAsia="Microsoft YaHei" w:hAnsi="Microsoft YaHei" w:cs="SimSun"/>
        </w:rPr>
        <w:t>，译者.杰拉尔德·E·贝文（伦敦：企鹅出版社，2003）,p.66</w:t>
      </w:r>
      <w:r w:rsidR="00871F67">
        <w:rPr>
          <w:rFonts w:ascii="Microsoft YaHei" w:eastAsia="Microsoft YaHei" w:hAnsi="Microsoft YaHei" w:cs="SimSun"/>
        </w:rPr>
        <w:t>。</w:t>
      </w:r>
      <w:r w:rsidRPr="00FA093A">
        <w:rPr>
          <w:rFonts w:ascii="Microsoft YaHei" w:eastAsia="Microsoft YaHei" w:hAnsi="Microsoft YaHei" w:cs="SimSun"/>
        </w:rPr>
        <w:t>慈继伟.“</w:t>
      </w:r>
      <w:proofErr w:type="gramStart"/>
      <w:r w:rsidRPr="00FA093A">
        <w:rPr>
          <w:rFonts w:ascii="Microsoft YaHei" w:eastAsia="Microsoft YaHei" w:hAnsi="Microsoft YaHei" w:cs="SimSun"/>
        </w:rPr>
        <w:t>民主在中国:即将而至的危机</w:t>
      </w:r>
      <w:proofErr w:type="gramEnd"/>
      <w:r w:rsidRPr="00FA093A">
        <w:rPr>
          <w:rFonts w:ascii="Microsoft YaHei" w:eastAsia="Microsoft YaHei" w:hAnsi="Microsoft YaHei" w:cs="SimSun"/>
        </w:rPr>
        <w:t>”（The Democracy in China: The Coming Crisis）（哈佛大学出版社，2019）对托克维尔有关“外溢趋势”之观点的更全面的阐释（</w:t>
      </w:r>
      <w:proofErr w:type="spellStart"/>
      <w:r w:rsidRPr="00FA093A">
        <w:rPr>
          <w:rFonts w:ascii="Microsoft YaHei" w:eastAsia="Microsoft YaHei" w:hAnsi="Microsoft YaHei" w:cs="SimSun"/>
        </w:rPr>
        <w:t>for</w:t>
      </w:r>
      <w:proofErr w:type="spellEnd"/>
      <w:r w:rsidRPr="00FA093A">
        <w:rPr>
          <w:rFonts w:ascii="Microsoft YaHei" w:eastAsia="Microsoft YaHei" w:hAnsi="Microsoft YaHei" w:cs="SimSun"/>
        </w:rPr>
        <w:t xml:space="preserve"> a </w:t>
      </w:r>
      <w:proofErr w:type="spellStart"/>
      <w:r w:rsidRPr="00FA093A">
        <w:rPr>
          <w:rFonts w:ascii="Microsoft YaHei" w:eastAsia="Microsoft YaHei" w:hAnsi="Microsoft YaHei" w:cs="SimSun"/>
        </w:rPr>
        <w:t>fuller</w:t>
      </w:r>
      <w:proofErr w:type="spellEnd"/>
      <w:r w:rsidRPr="00FA093A">
        <w:rPr>
          <w:rFonts w:ascii="Microsoft YaHei" w:eastAsia="Microsoft YaHei" w:hAnsi="Microsoft YaHei" w:cs="SimSun"/>
        </w:rPr>
        <w:t xml:space="preserve"> </w:t>
      </w:r>
      <w:proofErr w:type="spellStart"/>
      <w:r w:rsidRPr="00FA093A">
        <w:rPr>
          <w:rFonts w:ascii="Microsoft YaHei" w:eastAsia="Microsoft YaHei" w:hAnsi="Microsoft YaHei" w:cs="SimSun"/>
        </w:rPr>
        <w:t>account</w:t>
      </w:r>
      <w:proofErr w:type="spellEnd"/>
      <w:r w:rsidRPr="00FA093A">
        <w:rPr>
          <w:rFonts w:ascii="Microsoft YaHei" w:eastAsia="Microsoft YaHei" w:hAnsi="Microsoft YaHei" w:cs="SimSun"/>
        </w:rPr>
        <w:t xml:space="preserve"> </w:t>
      </w:r>
      <w:proofErr w:type="spellStart"/>
      <w:r w:rsidRPr="00FA093A">
        <w:rPr>
          <w:rFonts w:ascii="Microsoft YaHei" w:eastAsia="Microsoft YaHei" w:hAnsi="Microsoft YaHei" w:cs="SimSun"/>
        </w:rPr>
        <w:t>of</w:t>
      </w:r>
      <w:proofErr w:type="spellEnd"/>
      <w:r w:rsidRPr="00FA093A">
        <w:rPr>
          <w:rFonts w:ascii="Microsoft YaHei" w:eastAsia="Microsoft YaHei" w:hAnsi="Microsoft YaHei" w:cs="SimSun"/>
        </w:rPr>
        <w:t xml:space="preserve"> </w:t>
      </w:r>
      <w:proofErr w:type="spellStart"/>
      <w:r w:rsidRPr="00FA093A">
        <w:rPr>
          <w:rFonts w:ascii="Microsoft YaHei" w:eastAsia="Microsoft YaHei" w:hAnsi="Microsoft YaHei" w:cs="SimSun"/>
        </w:rPr>
        <w:t>Tocqueville’s</w:t>
      </w:r>
      <w:proofErr w:type="spellEnd"/>
      <w:r w:rsidRPr="00FA093A">
        <w:rPr>
          <w:rFonts w:ascii="Microsoft YaHei" w:eastAsia="Microsoft YaHei" w:hAnsi="Microsoft YaHei" w:cs="SimSun"/>
        </w:rPr>
        <w:t xml:space="preserve"> </w:t>
      </w:r>
      <w:proofErr w:type="spellStart"/>
      <w:r w:rsidRPr="00FA093A">
        <w:rPr>
          <w:rFonts w:ascii="Microsoft YaHei" w:eastAsia="Microsoft YaHei" w:hAnsi="Microsoft YaHei" w:cs="SimSun"/>
        </w:rPr>
        <w:t>view</w:t>
      </w:r>
      <w:proofErr w:type="spellEnd"/>
      <w:r w:rsidRPr="00FA093A">
        <w:rPr>
          <w:rFonts w:ascii="Microsoft YaHei" w:eastAsia="Microsoft YaHei" w:hAnsi="Microsoft YaHei" w:cs="SimSun"/>
        </w:rPr>
        <w:t xml:space="preserve"> on “</w:t>
      </w:r>
      <w:proofErr w:type="spellStart"/>
      <w:r w:rsidRPr="00FA093A">
        <w:rPr>
          <w:rFonts w:ascii="Microsoft YaHei" w:eastAsia="Microsoft YaHei" w:hAnsi="Microsoft YaHei" w:cs="SimSun"/>
        </w:rPr>
        <w:t>spill</w:t>
      </w:r>
      <w:proofErr w:type="spellEnd"/>
      <w:r w:rsidRPr="00FA093A">
        <w:rPr>
          <w:rFonts w:ascii="Microsoft YaHei" w:eastAsia="Microsoft YaHei" w:hAnsi="Microsoft YaHei" w:cs="SimSun"/>
        </w:rPr>
        <w:t xml:space="preserve"> </w:t>
      </w:r>
      <w:proofErr w:type="spellStart"/>
      <w:r w:rsidRPr="00FA093A">
        <w:rPr>
          <w:rFonts w:ascii="Microsoft YaHei" w:eastAsia="Microsoft YaHei" w:hAnsi="Microsoft YaHei" w:cs="SimSun"/>
        </w:rPr>
        <w:t>over</w:t>
      </w:r>
      <w:proofErr w:type="spellEnd"/>
      <w:r w:rsidRPr="00FA093A">
        <w:rPr>
          <w:rFonts w:ascii="Microsoft YaHei" w:eastAsia="Microsoft YaHei" w:hAnsi="Microsoft YaHei" w:cs="SimSun"/>
        </w:rPr>
        <w:t xml:space="preserve"> </w:t>
      </w:r>
      <w:proofErr w:type="spellStart"/>
      <w:r w:rsidRPr="00FA093A">
        <w:rPr>
          <w:rFonts w:ascii="Microsoft YaHei" w:eastAsia="Microsoft YaHei" w:hAnsi="Microsoft YaHei" w:cs="SimSun"/>
        </w:rPr>
        <w:t>tendency</w:t>
      </w:r>
      <w:proofErr w:type="spellEnd"/>
      <w:r w:rsidRPr="00FA093A">
        <w:rPr>
          <w:rFonts w:ascii="Microsoft YaHei" w:eastAsia="Microsoft YaHei" w:hAnsi="Microsoft YaHei" w:cs="SimSun"/>
        </w:rPr>
        <w:t>”）</w:t>
      </w:r>
      <w:r w:rsidR="00A27426">
        <w:rPr>
          <w:rFonts w:ascii="Microsoft YaHei" w:eastAsia="Microsoft YaHei" w:hAnsi="Microsoft YaHei" w:cs="SimSun"/>
        </w:rPr>
        <w:t>。</w:t>
      </w:r>
    </w:p>
  </w:footnote>
  <w:footnote w:id="2">
    <w:p w14:paraId="1ADA2673" w14:textId="7364CA2F" w:rsidR="003A179B" w:rsidRPr="00FA093A" w:rsidRDefault="00E52BB8" w:rsidP="00B2451F">
      <w:pPr>
        <w:pStyle w:val="Funotentext"/>
        <w:jc w:val="both"/>
        <w:rPr>
          <w:rFonts w:ascii="Microsoft YaHei" w:eastAsia="Microsoft YaHei" w:hAnsi="Microsoft YaHei"/>
          <w:lang w:val="en-US"/>
        </w:rPr>
      </w:pPr>
      <w:r w:rsidRPr="00FA093A">
        <w:rPr>
          <w:rStyle w:val="Funotenzeichen"/>
          <w:rFonts w:ascii="Microsoft YaHei" w:eastAsia="Microsoft YaHei" w:hAnsi="Microsoft YaHei" w:cs="Times New Roman"/>
        </w:rPr>
        <w:footnoteRef/>
      </w:r>
      <w:r w:rsidR="00000000">
        <w:fldChar w:fldCharType="begin"/>
      </w:r>
      <w:r w:rsidR="00000000" w:rsidRPr="00C515B9">
        <w:rPr>
          <w:lang w:val="en-US"/>
        </w:rPr>
        <w:instrText xml:space="preserve"> HYPERLINK "https://www.pkulaw.com/qikan/604dd589ba0595bcd92a9261d1d3bdb9bdfb.html" </w:instrText>
      </w:r>
      <w:r w:rsidR="00000000">
        <w:fldChar w:fldCharType="separate"/>
      </w:r>
      <w:r w:rsidRPr="00C515B9">
        <w:rPr>
          <w:rStyle w:val="Hyperlink"/>
          <w:rFonts w:ascii="Microsoft YaHei" w:eastAsia="Microsoft YaHei" w:hAnsi="Microsoft YaHei" w:cs="SimSun"/>
          <w:color w:val="auto"/>
          <w:lang w:val="en-US"/>
        </w:rPr>
        <w:t>https://www.pkulaw.com/qikan/604dd589ba0595bcd92a9261d1d3bdb9bdfb.html</w:t>
      </w:r>
      <w:r w:rsidR="00000000">
        <w:rPr>
          <w:rStyle w:val="Hyperlink"/>
          <w:rFonts w:ascii="Microsoft YaHei" w:eastAsia="Microsoft YaHei" w:hAnsi="Microsoft YaHei" w:cs="SimSun"/>
          <w:color w:val="auto"/>
        </w:rP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2F8"/>
    <w:rsid w:val="00047DD3"/>
    <w:rsid w:val="00060A06"/>
    <w:rsid w:val="00072783"/>
    <w:rsid w:val="000749D6"/>
    <w:rsid w:val="000D3554"/>
    <w:rsid w:val="00151F65"/>
    <w:rsid w:val="00177841"/>
    <w:rsid w:val="001F4E34"/>
    <w:rsid w:val="00213F0D"/>
    <w:rsid w:val="00226F9F"/>
    <w:rsid w:val="002331DD"/>
    <w:rsid w:val="00246F8A"/>
    <w:rsid w:val="00262946"/>
    <w:rsid w:val="002637C9"/>
    <w:rsid w:val="00273743"/>
    <w:rsid w:val="002D619B"/>
    <w:rsid w:val="002F6372"/>
    <w:rsid w:val="00311C1E"/>
    <w:rsid w:val="003239CB"/>
    <w:rsid w:val="00325D9B"/>
    <w:rsid w:val="003A179B"/>
    <w:rsid w:val="003B78B7"/>
    <w:rsid w:val="004D10F2"/>
    <w:rsid w:val="005302A6"/>
    <w:rsid w:val="00533F8A"/>
    <w:rsid w:val="00551D4B"/>
    <w:rsid w:val="00571E21"/>
    <w:rsid w:val="00587359"/>
    <w:rsid w:val="006247E3"/>
    <w:rsid w:val="00654788"/>
    <w:rsid w:val="006561AB"/>
    <w:rsid w:val="00670086"/>
    <w:rsid w:val="00695EF6"/>
    <w:rsid w:val="006A295D"/>
    <w:rsid w:val="006C2771"/>
    <w:rsid w:val="006D3A7F"/>
    <w:rsid w:val="006F5844"/>
    <w:rsid w:val="006F5A25"/>
    <w:rsid w:val="0070205F"/>
    <w:rsid w:val="007132F8"/>
    <w:rsid w:val="007213FF"/>
    <w:rsid w:val="00730A88"/>
    <w:rsid w:val="00807933"/>
    <w:rsid w:val="00825DD9"/>
    <w:rsid w:val="00853CB7"/>
    <w:rsid w:val="00871F67"/>
    <w:rsid w:val="00882500"/>
    <w:rsid w:val="00890FF2"/>
    <w:rsid w:val="008A686F"/>
    <w:rsid w:val="009025FB"/>
    <w:rsid w:val="0093326C"/>
    <w:rsid w:val="00963008"/>
    <w:rsid w:val="009B5933"/>
    <w:rsid w:val="009B70AC"/>
    <w:rsid w:val="00A17EC8"/>
    <w:rsid w:val="00A27426"/>
    <w:rsid w:val="00B2451F"/>
    <w:rsid w:val="00B26C5A"/>
    <w:rsid w:val="00B347FF"/>
    <w:rsid w:val="00B42AE2"/>
    <w:rsid w:val="00C41093"/>
    <w:rsid w:val="00C4294D"/>
    <w:rsid w:val="00C515B9"/>
    <w:rsid w:val="00CE42FD"/>
    <w:rsid w:val="00D02C2D"/>
    <w:rsid w:val="00D4790F"/>
    <w:rsid w:val="00D94308"/>
    <w:rsid w:val="00DA4E14"/>
    <w:rsid w:val="00DB36E6"/>
    <w:rsid w:val="00DB7D3B"/>
    <w:rsid w:val="00DC2237"/>
    <w:rsid w:val="00DF66DC"/>
    <w:rsid w:val="00E210A2"/>
    <w:rsid w:val="00E37A12"/>
    <w:rsid w:val="00E52BB8"/>
    <w:rsid w:val="00EB1F27"/>
    <w:rsid w:val="00ED402D"/>
    <w:rsid w:val="00ED4DE0"/>
    <w:rsid w:val="00EF1E85"/>
    <w:rsid w:val="00F0303B"/>
    <w:rsid w:val="00F46936"/>
    <w:rsid w:val="00F92B6D"/>
    <w:rsid w:val="00F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1B8F"/>
  <w15:docId w15:val="{E19FAEB1-8353-294B-92B0-ED36A9D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132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32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32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2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2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2F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2F8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7132F8"/>
    <w:pPr>
      <w:ind w:left="720"/>
      <w:contextualSpacing/>
    </w:pPr>
  </w:style>
  <w:style w:type="table" w:styleId="Tabellenraster">
    <w:name w:val="Table Grid"/>
    <w:basedOn w:val="NormaleTabelle"/>
    <w:uiPriority w:val="39"/>
    <w:rsid w:val="006F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DA4E14"/>
  </w:style>
  <w:style w:type="paragraph" w:styleId="Funotentext">
    <w:name w:val="footnote text"/>
    <w:basedOn w:val="Standard"/>
    <w:link w:val="FunotentextZchn"/>
    <w:uiPriority w:val="99"/>
    <w:semiHidden/>
    <w:unhideWhenUsed/>
    <w:rsid w:val="00F92B6D"/>
    <w:pPr>
      <w:snapToGrid w:val="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2B6D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F92B6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A179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Dr.Dr. Thomas Gergen</dc:creator>
  <cp:lastModifiedBy>Liu Runyao</cp:lastModifiedBy>
  <cp:revision>77</cp:revision>
  <dcterms:created xsi:type="dcterms:W3CDTF">2022-06-21T22:57:00Z</dcterms:created>
  <dcterms:modified xsi:type="dcterms:W3CDTF">2022-08-21T14:45:00Z</dcterms:modified>
</cp:coreProperties>
</file>