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FE55C" w14:textId="77777777" w:rsidR="00A06B54" w:rsidRPr="006A3596" w:rsidRDefault="00A06B54" w:rsidP="00A06B54">
      <w:pPr>
        <w:spacing w:before="120" w:after="120"/>
        <w:jc w:val="center"/>
        <w:rPr>
          <w:rFonts w:ascii="Times New Roman" w:hAnsi="Times New Roman"/>
          <w:b/>
          <w:bCs/>
          <w:sz w:val="32"/>
          <w:szCs w:val="32"/>
        </w:rPr>
      </w:pPr>
      <w:bookmarkStart w:id="0" w:name="OLE_LINK1"/>
      <w:bookmarkStart w:id="1" w:name="OLE_LINK2"/>
      <w:bookmarkStart w:id="2" w:name="OLE_LINK3"/>
      <w:r w:rsidRPr="006A3596">
        <w:rPr>
          <w:rFonts w:ascii="Times New Roman" w:hAnsi="Times New Roman"/>
          <w:b/>
          <w:bCs/>
          <w:sz w:val="32"/>
          <w:szCs w:val="32"/>
        </w:rPr>
        <w:t>gift/</w:t>
      </w:r>
      <w:r w:rsidRPr="006A3596">
        <w:rPr>
          <w:rFonts w:ascii="Times New Roman" w:eastAsia="Songti TC" w:hAnsi="Times New Roman"/>
          <w:b/>
          <w:bCs/>
          <w:sz w:val="32"/>
          <w:szCs w:val="32"/>
        </w:rPr>
        <w:t>礼物</w:t>
      </w:r>
      <w:r w:rsidRPr="006A3596">
        <w:rPr>
          <w:rFonts w:ascii="Times New Roman" w:eastAsia="Microsoft YaHei" w:hAnsi="Times New Roman"/>
          <w:b/>
          <w:bCs/>
          <w:sz w:val="32"/>
          <w:szCs w:val="32"/>
        </w:rPr>
        <w:t>(</w:t>
      </w:r>
      <w:proofErr w:type="spellStart"/>
      <w:r w:rsidRPr="006A3596">
        <w:rPr>
          <w:rFonts w:ascii="Times New Roman" w:eastAsia="Microsoft YaHei" w:hAnsi="Times New Roman"/>
          <w:b/>
          <w:bCs/>
          <w:sz w:val="32"/>
          <w:szCs w:val="32"/>
        </w:rPr>
        <w:t>Lǐ</w:t>
      </w:r>
      <w:proofErr w:type="spellEnd"/>
      <w:r w:rsidRPr="006A3596">
        <w:rPr>
          <w:rFonts w:ascii="Times New Roman" w:eastAsia="Microsoft YaHei" w:hAnsi="Times New Roman"/>
          <w:b/>
          <w:bCs/>
          <w:sz w:val="32"/>
          <w:szCs w:val="32"/>
        </w:rPr>
        <w:t xml:space="preserve"> </w:t>
      </w:r>
      <w:proofErr w:type="spellStart"/>
      <w:r w:rsidRPr="006A3596">
        <w:rPr>
          <w:rFonts w:ascii="Times New Roman" w:eastAsia="Microsoft YaHei" w:hAnsi="Times New Roman"/>
          <w:b/>
          <w:bCs/>
          <w:sz w:val="32"/>
          <w:szCs w:val="32"/>
        </w:rPr>
        <w:t>Wù</w:t>
      </w:r>
      <w:proofErr w:type="spellEnd"/>
      <w:r w:rsidRPr="006A3596">
        <w:rPr>
          <w:rFonts w:ascii="Times New Roman" w:eastAsia="Microsoft YaHei" w:hAnsi="Times New Roman"/>
          <w:b/>
          <w:bCs/>
          <w:sz w:val="32"/>
          <w:szCs w:val="32"/>
        </w:rPr>
        <w:t>)</w:t>
      </w:r>
    </w:p>
    <w:tbl>
      <w:tblPr>
        <w:tblW w:w="0" w:type="auto"/>
        <w:jc w:val="center"/>
        <w:tblLook w:val="04A0" w:firstRow="1" w:lastRow="0" w:firstColumn="1" w:lastColumn="0" w:noHBand="0" w:noVBand="1"/>
      </w:tblPr>
      <w:tblGrid>
        <w:gridCol w:w="2811"/>
        <w:gridCol w:w="2759"/>
        <w:gridCol w:w="2736"/>
      </w:tblGrid>
      <w:tr w:rsidR="00A06B54" w:rsidRPr="006A3596" w14:paraId="0504ECD2" w14:textId="77777777" w:rsidTr="00953DE2">
        <w:trPr>
          <w:trHeight w:val="347"/>
          <w:jc w:val="center"/>
        </w:trPr>
        <w:tc>
          <w:tcPr>
            <w:tcW w:w="3020" w:type="dxa"/>
            <w:shd w:val="clear" w:color="auto" w:fill="auto"/>
          </w:tcPr>
          <w:p w14:paraId="577EE771" w14:textId="77777777" w:rsidR="00A06B54" w:rsidRPr="006A3596" w:rsidRDefault="00A06B54" w:rsidP="00953DE2">
            <w:pPr>
              <w:jc w:val="center"/>
              <w:rPr>
                <w:rFonts w:ascii="Times New Roman" w:eastAsia="DengXian" w:hAnsi="Times New Roman"/>
                <w:sz w:val="24"/>
                <w:szCs w:val="24"/>
              </w:rPr>
            </w:pPr>
            <w:bookmarkStart w:id="3" w:name="OLE_LINK7"/>
            <w:bookmarkStart w:id="4" w:name="OLE_LINK8"/>
            <w:bookmarkStart w:id="5" w:name="OLE_LINK9"/>
            <w:bookmarkStart w:id="6" w:name="OLE_LINK10"/>
            <w:bookmarkStart w:id="7" w:name="OLE_LINK15"/>
            <w:r w:rsidRPr="006A3596">
              <w:rPr>
                <w:rFonts w:ascii="Times New Roman" w:eastAsia="DengXian" w:hAnsi="Times New Roman"/>
                <w:sz w:val="24"/>
                <w:szCs w:val="24"/>
              </w:rPr>
              <w:t>Chinese Perspective</w:t>
            </w:r>
          </w:p>
        </w:tc>
        <w:tc>
          <w:tcPr>
            <w:tcW w:w="3021" w:type="dxa"/>
            <w:shd w:val="clear" w:color="auto" w:fill="auto"/>
          </w:tcPr>
          <w:p w14:paraId="3A81BEE8" w14:textId="77777777" w:rsidR="00A06B54" w:rsidRPr="006A3596" w:rsidRDefault="00A06B54" w:rsidP="00953DE2">
            <w:pPr>
              <w:jc w:val="center"/>
              <w:rPr>
                <w:rFonts w:ascii="Times New Roman" w:eastAsia="DengXian" w:hAnsi="Times New Roman"/>
                <w:sz w:val="24"/>
                <w:szCs w:val="24"/>
              </w:rPr>
            </w:pPr>
            <w:r w:rsidRPr="006A3596">
              <w:rPr>
                <w:rFonts w:ascii="Times New Roman" w:eastAsia="DengXian" w:hAnsi="Times New Roman"/>
                <w:sz w:val="24"/>
                <w:szCs w:val="24"/>
              </w:rPr>
              <w:t xml:space="preserve">YANG </w:t>
            </w:r>
            <w:proofErr w:type="spellStart"/>
            <w:r w:rsidRPr="006A3596">
              <w:rPr>
                <w:rFonts w:ascii="Times New Roman" w:eastAsia="DengXian" w:hAnsi="Times New Roman"/>
                <w:sz w:val="24"/>
                <w:szCs w:val="24"/>
              </w:rPr>
              <w:t>Huilin</w:t>
            </w:r>
            <w:proofErr w:type="spellEnd"/>
          </w:p>
        </w:tc>
        <w:tc>
          <w:tcPr>
            <w:tcW w:w="3021" w:type="dxa"/>
            <w:shd w:val="clear" w:color="auto" w:fill="auto"/>
          </w:tcPr>
          <w:p w14:paraId="1E85907E" w14:textId="74A5D4B8" w:rsidR="00A06B54" w:rsidRPr="006A3596" w:rsidRDefault="00A06B54" w:rsidP="00953DE2">
            <w:pPr>
              <w:jc w:val="center"/>
              <w:rPr>
                <w:rFonts w:ascii="Times New Roman" w:eastAsia="DengXian" w:hAnsi="Times New Roman"/>
                <w:sz w:val="24"/>
                <w:szCs w:val="24"/>
              </w:rPr>
            </w:pPr>
            <w:r w:rsidRPr="006A3596">
              <w:rPr>
                <w:rFonts w:ascii="Times New Roman" w:eastAsia="DengXian" w:hAnsi="Times New Roman"/>
                <w:sz w:val="24"/>
                <w:szCs w:val="24"/>
              </w:rPr>
              <w:t xml:space="preserve">30 May </w:t>
            </w:r>
            <w:r w:rsidR="00C47EFE" w:rsidRPr="006A3596">
              <w:rPr>
                <w:rFonts w:ascii="Times New Roman" w:eastAsia="DengXian" w:hAnsi="Times New Roman"/>
                <w:sz w:val="24"/>
                <w:szCs w:val="24"/>
              </w:rPr>
              <w:t>2022</w:t>
            </w:r>
          </w:p>
        </w:tc>
      </w:tr>
    </w:tbl>
    <w:bookmarkEnd w:id="0"/>
    <w:bookmarkEnd w:id="1"/>
    <w:bookmarkEnd w:id="2"/>
    <w:bookmarkEnd w:id="3"/>
    <w:bookmarkEnd w:id="4"/>
    <w:bookmarkEnd w:id="5"/>
    <w:bookmarkEnd w:id="6"/>
    <w:bookmarkEnd w:id="7"/>
    <w:p w14:paraId="28FDECDD" w14:textId="77777777" w:rsidR="00A06B54" w:rsidRPr="006A3596" w:rsidRDefault="00A06B54" w:rsidP="006A3596">
      <w:pPr>
        <w:spacing w:before="120" w:after="120"/>
        <w:ind w:firstLine="488"/>
        <w:rPr>
          <w:rFonts w:ascii="Times New Roman" w:eastAsia="Songti TC" w:hAnsi="Times New Roman"/>
          <w:sz w:val="24"/>
          <w:szCs w:val="24"/>
        </w:rPr>
      </w:pPr>
      <w:r w:rsidRPr="006A3596">
        <w:rPr>
          <w:rFonts w:ascii="Times New Roman" w:eastAsia="Songti TC" w:hAnsi="Times New Roman"/>
          <w:sz w:val="24"/>
          <w:szCs w:val="24"/>
        </w:rPr>
        <w:t>汉语之</w:t>
      </w:r>
      <w:r w:rsidRPr="006A3596">
        <w:rPr>
          <w:rFonts w:ascii="Times New Roman" w:eastAsia="Songti TC" w:hAnsi="Times New Roman"/>
          <w:sz w:val="24"/>
          <w:szCs w:val="24"/>
        </w:rPr>
        <w:t>“</w:t>
      </w:r>
      <w:r w:rsidRPr="006A3596">
        <w:rPr>
          <w:rFonts w:ascii="Times New Roman" w:eastAsia="Songti TC" w:hAnsi="Times New Roman"/>
          <w:sz w:val="24"/>
          <w:szCs w:val="24"/>
        </w:rPr>
        <w:t>礼</w:t>
      </w:r>
      <w:r w:rsidRPr="006A3596">
        <w:rPr>
          <w:rFonts w:ascii="Times New Roman" w:eastAsia="Songti TC" w:hAnsi="Times New Roman"/>
          <w:sz w:val="24"/>
          <w:szCs w:val="24"/>
        </w:rPr>
        <w:t>”</w:t>
      </w:r>
      <w:r w:rsidRPr="006A3596">
        <w:rPr>
          <w:rFonts w:ascii="Times New Roman" w:eastAsia="Songti TC" w:hAnsi="Times New Roman"/>
          <w:sz w:val="24"/>
          <w:szCs w:val="24"/>
        </w:rPr>
        <w:t>本作</w:t>
      </w:r>
      <w:r w:rsidRPr="006A3596">
        <w:rPr>
          <w:rFonts w:ascii="Times New Roman" w:eastAsia="Songti TC" w:hAnsi="Times New Roman"/>
          <w:sz w:val="24"/>
          <w:szCs w:val="24"/>
        </w:rPr>
        <w:t>“</w:t>
      </w:r>
      <w:r w:rsidRPr="006A3596">
        <w:rPr>
          <w:rFonts w:ascii="Times New Roman" w:eastAsia="Songti TC" w:hAnsi="Times New Roman"/>
          <w:sz w:val="24"/>
          <w:szCs w:val="24"/>
        </w:rPr>
        <w:t>禮</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Fonts w:ascii="Times New Roman" w:eastAsia="Songti TC" w:hAnsi="Times New Roman"/>
          <w:sz w:val="24"/>
          <w:szCs w:val="24"/>
        </w:rPr>
        <w:t>从示从豊</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Fonts w:ascii="Times New Roman" w:eastAsia="Songti TC" w:hAnsi="Times New Roman"/>
          <w:sz w:val="24"/>
          <w:szCs w:val="24"/>
        </w:rPr>
        <w:t>示</w:t>
      </w:r>
      <w:r w:rsidRPr="006A3596">
        <w:rPr>
          <w:rFonts w:ascii="Times New Roman" w:eastAsia="Songti TC" w:hAnsi="Times New Roman"/>
          <w:sz w:val="24"/>
          <w:szCs w:val="24"/>
        </w:rPr>
        <w:t>”</w:t>
      </w:r>
      <w:r w:rsidRPr="006A3596">
        <w:rPr>
          <w:rFonts w:ascii="Times New Roman" w:eastAsia="Songti TC" w:hAnsi="Times New Roman"/>
          <w:sz w:val="24"/>
          <w:szCs w:val="24"/>
        </w:rPr>
        <w:t>同</w:t>
      </w:r>
      <w:r w:rsidRPr="006A3596">
        <w:rPr>
          <w:rFonts w:ascii="Times New Roman" w:eastAsia="Songti TC" w:hAnsi="Times New Roman"/>
          <w:sz w:val="24"/>
          <w:szCs w:val="24"/>
        </w:rPr>
        <w:t>“</w:t>
      </w:r>
      <w:r w:rsidRPr="006A3596">
        <w:rPr>
          <w:rFonts w:ascii="Times New Roman" w:eastAsia="Songti TC" w:hAnsi="Times New Roman"/>
          <w:sz w:val="24"/>
          <w:szCs w:val="24"/>
          <w:shd w:val="clear" w:color="auto" w:fill="FFFFFF"/>
        </w:rPr>
        <w:t>祇</w:t>
      </w:r>
      <w:r w:rsidRPr="006A3596">
        <w:rPr>
          <w:rFonts w:ascii="Times New Roman" w:eastAsia="Songti TC" w:hAnsi="Times New Roman"/>
          <w:sz w:val="24"/>
          <w:szCs w:val="24"/>
        </w:rPr>
        <w:t>”</w:t>
      </w:r>
      <w:r w:rsidRPr="006A3596">
        <w:rPr>
          <w:rFonts w:ascii="Times New Roman" w:eastAsia="Songti TC" w:hAnsi="Times New Roman"/>
          <w:sz w:val="24"/>
          <w:szCs w:val="24"/>
        </w:rPr>
        <w:t>（地神），</w:t>
      </w:r>
      <w:r w:rsidRPr="006A3596">
        <w:rPr>
          <w:rFonts w:ascii="Times New Roman" w:eastAsia="Songti TC" w:hAnsi="Times New Roman"/>
          <w:sz w:val="24"/>
          <w:szCs w:val="24"/>
        </w:rPr>
        <w:t>“</w:t>
      </w:r>
      <w:r w:rsidRPr="006A3596">
        <w:rPr>
          <w:rFonts w:ascii="Times New Roman" w:eastAsia="Songti TC" w:hAnsi="Times New Roman"/>
          <w:sz w:val="24"/>
          <w:szCs w:val="24"/>
        </w:rPr>
        <w:t>豊</w:t>
      </w:r>
      <w:r w:rsidRPr="006A3596">
        <w:rPr>
          <w:rFonts w:ascii="Times New Roman" w:eastAsia="Songti TC" w:hAnsi="Times New Roman"/>
          <w:sz w:val="24"/>
          <w:szCs w:val="24"/>
        </w:rPr>
        <w:t>”</w:t>
      </w:r>
      <w:r w:rsidRPr="006A3596">
        <w:rPr>
          <w:rFonts w:ascii="Times New Roman" w:eastAsia="Songti TC" w:hAnsi="Times New Roman"/>
          <w:sz w:val="24"/>
          <w:szCs w:val="24"/>
        </w:rPr>
        <w:t>是祭祀用的器物，因此</w:t>
      </w:r>
      <w:r w:rsidRPr="006A3596">
        <w:rPr>
          <w:rFonts w:ascii="Times New Roman" w:eastAsia="Songti TC" w:hAnsi="Times New Roman"/>
          <w:sz w:val="24"/>
          <w:szCs w:val="24"/>
        </w:rPr>
        <w:t>“</w:t>
      </w:r>
      <w:r w:rsidRPr="006A3596">
        <w:rPr>
          <w:rFonts w:ascii="Times New Roman" w:eastAsia="Songti TC" w:hAnsi="Times New Roman"/>
          <w:sz w:val="24"/>
          <w:szCs w:val="24"/>
        </w:rPr>
        <w:t>禮</w:t>
      </w:r>
      <w:r w:rsidRPr="006A3596">
        <w:rPr>
          <w:rFonts w:ascii="Times New Roman" w:eastAsia="Songti TC" w:hAnsi="Times New Roman"/>
          <w:sz w:val="24"/>
          <w:szCs w:val="24"/>
        </w:rPr>
        <w:t>”</w:t>
      </w:r>
      <w:r w:rsidRPr="006A3596">
        <w:rPr>
          <w:rFonts w:ascii="Times New Roman" w:eastAsia="Songti TC" w:hAnsi="Times New Roman"/>
          <w:sz w:val="24"/>
          <w:szCs w:val="24"/>
        </w:rPr>
        <w:t>字的本义当是</w:t>
      </w:r>
      <w:r w:rsidRPr="006A3596">
        <w:rPr>
          <w:rFonts w:ascii="Times New Roman" w:eastAsia="Songti TC" w:hAnsi="Times New Roman"/>
          <w:sz w:val="24"/>
          <w:szCs w:val="24"/>
        </w:rPr>
        <w:t>“</w:t>
      </w:r>
      <w:r w:rsidRPr="006A3596">
        <w:rPr>
          <w:rFonts w:ascii="Times New Roman" w:eastAsia="Songti TC" w:hAnsi="Times New Roman"/>
          <w:sz w:val="24"/>
          <w:szCs w:val="24"/>
        </w:rPr>
        <w:t>所以事神致福也</w:t>
      </w:r>
      <w:r w:rsidRPr="006A3596">
        <w:rPr>
          <w:rFonts w:ascii="Times New Roman" w:eastAsia="Songti TC" w:hAnsi="Times New Roman"/>
          <w:sz w:val="24"/>
          <w:szCs w:val="24"/>
        </w:rPr>
        <w:t>”</w:t>
      </w:r>
      <w:r w:rsidRPr="006A3596">
        <w:rPr>
          <w:rFonts w:ascii="Times New Roman" w:eastAsia="Songti TC" w:hAnsi="Times New Roman"/>
          <w:sz w:val="24"/>
          <w:szCs w:val="24"/>
        </w:rPr>
        <w:t>（《说文解字》）。王国维《观堂集林》的</w:t>
      </w:r>
      <w:r w:rsidRPr="006A3596">
        <w:rPr>
          <w:rFonts w:ascii="Times New Roman" w:eastAsia="Songti TC" w:hAnsi="Times New Roman"/>
          <w:sz w:val="24"/>
          <w:szCs w:val="24"/>
        </w:rPr>
        <w:t>“</w:t>
      </w:r>
      <w:r w:rsidRPr="006A3596">
        <w:rPr>
          <w:rFonts w:ascii="Times New Roman" w:eastAsia="Songti TC" w:hAnsi="Times New Roman"/>
          <w:sz w:val="24"/>
          <w:szCs w:val="24"/>
        </w:rPr>
        <w:t>释礼</w:t>
      </w:r>
      <w:r w:rsidRPr="006A3596">
        <w:rPr>
          <w:rFonts w:ascii="Times New Roman" w:eastAsia="Songti TC" w:hAnsi="Times New Roman"/>
          <w:sz w:val="24"/>
          <w:szCs w:val="24"/>
        </w:rPr>
        <w:t>”</w:t>
      </w:r>
      <w:r w:rsidRPr="006A3596">
        <w:rPr>
          <w:rFonts w:ascii="Times New Roman" w:eastAsia="Songti TC" w:hAnsi="Times New Roman"/>
          <w:sz w:val="24"/>
          <w:szCs w:val="24"/>
        </w:rPr>
        <w:t>一篇也是依字形予以推衍：</w:t>
      </w:r>
      <w:r w:rsidRPr="006A3596">
        <w:rPr>
          <w:rFonts w:ascii="Times New Roman" w:eastAsia="Songti TC" w:hAnsi="Times New Roman"/>
          <w:sz w:val="24"/>
          <w:szCs w:val="24"/>
        </w:rPr>
        <w:t>“</w:t>
      </w:r>
      <w:r w:rsidRPr="006A3596">
        <w:rPr>
          <w:rFonts w:ascii="Times New Roman" w:eastAsia="Songti TC" w:hAnsi="Times New Roman"/>
          <w:sz w:val="24"/>
          <w:szCs w:val="24"/>
        </w:rPr>
        <w:t>盛玉以奉神人之器谓之豊，推之而奉神人之酒醴亦谓之醴，又推之而奉神人之事，通谓之禮。</w:t>
      </w:r>
      <w:r w:rsidRPr="006A3596">
        <w:rPr>
          <w:rFonts w:ascii="Times New Roman" w:eastAsia="Songti TC" w:hAnsi="Times New Roman"/>
          <w:sz w:val="24"/>
          <w:szCs w:val="24"/>
        </w:rPr>
        <w:t>”</w:t>
      </w:r>
      <w:r w:rsidRPr="006A3596">
        <w:rPr>
          <w:rFonts w:ascii="Times New Roman" w:eastAsia="Songti TC" w:hAnsi="Times New Roman"/>
          <w:sz w:val="24"/>
          <w:szCs w:val="24"/>
        </w:rPr>
        <w:t>其中从</w:t>
      </w:r>
      <w:r w:rsidRPr="006A3596">
        <w:rPr>
          <w:rFonts w:ascii="Times New Roman" w:eastAsia="Songti TC" w:hAnsi="Times New Roman"/>
          <w:sz w:val="24"/>
          <w:szCs w:val="24"/>
        </w:rPr>
        <w:t>“</w:t>
      </w:r>
      <w:r w:rsidRPr="006A3596">
        <w:rPr>
          <w:rFonts w:ascii="Times New Roman" w:eastAsia="Songti TC" w:hAnsi="Times New Roman"/>
          <w:sz w:val="24"/>
          <w:szCs w:val="24"/>
        </w:rPr>
        <w:t>豊</w:t>
      </w:r>
      <w:r w:rsidRPr="006A3596">
        <w:rPr>
          <w:rFonts w:ascii="Times New Roman" w:eastAsia="Songti TC" w:hAnsi="Times New Roman"/>
          <w:sz w:val="24"/>
          <w:szCs w:val="24"/>
        </w:rPr>
        <w:t>”</w:t>
      </w:r>
      <w:r w:rsidRPr="006A3596">
        <w:rPr>
          <w:rFonts w:ascii="Times New Roman" w:eastAsia="Songti TC" w:hAnsi="Times New Roman"/>
          <w:sz w:val="24"/>
          <w:szCs w:val="24"/>
        </w:rPr>
        <w:t>至</w:t>
      </w:r>
      <w:r w:rsidRPr="006A3596">
        <w:rPr>
          <w:rFonts w:ascii="Times New Roman" w:eastAsia="Songti TC" w:hAnsi="Times New Roman"/>
          <w:sz w:val="24"/>
          <w:szCs w:val="24"/>
        </w:rPr>
        <w:t>“</w:t>
      </w:r>
      <w:r w:rsidRPr="006A3596">
        <w:rPr>
          <w:rFonts w:ascii="Times New Roman" w:eastAsia="Songti TC" w:hAnsi="Times New Roman"/>
          <w:sz w:val="24"/>
          <w:szCs w:val="24"/>
        </w:rPr>
        <w:t>醴</w:t>
      </w:r>
      <w:r w:rsidRPr="006A3596">
        <w:rPr>
          <w:rFonts w:ascii="Times New Roman" w:eastAsia="Songti TC" w:hAnsi="Times New Roman"/>
          <w:sz w:val="24"/>
          <w:szCs w:val="24"/>
        </w:rPr>
        <w:t>”</w:t>
      </w:r>
      <w:r w:rsidRPr="006A3596">
        <w:rPr>
          <w:rFonts w:ascii="Times New Roman" w:eastAsia="Songti TC" w:hAnsi="Times New Roman"/>
          <w:sz w:val="24"/>
          <w:szCs w:val="24"/>
        </w:rPr>
        <w:t>再至</w:t>
      </w:r>
      <w:r w:rsidRPr="006A3596">
        <w:rPr>
          <w:rFonts w:ascii="Times New Roman" w:eastAsia="Songti TC" w:hAnsi="Times New Roman"/>
          <w:sz w:val="24"/>
          <w:szCs w:val="24"/>
        </w:rPr>
        <w:t>“</w:t>
      </w:r>
      <w:r w:rsidRPr="006A3596">
        <w:rPr>
          <w:rFonts w:ascii="Times New Roman" w:eastAsia="Songti TC" w:hAnsi="Times New Roman"/>
          <w:sz w:val="24"/>
          <w:szCs w:val="24"/>
        </w:rPr>
        <w:t>禮</w:t>
      </w:r>
      <w:r w:rsidRPr="006A3596">
        <w:rPr>
          <w:rFonts w:ascii="Times New Roman" w:eastAsia="Songti TC" w:hAnsi="Times New Roman"/>
          <w:sz w:val="24"/>
          <w:szCs w:val="24"/>
        </w:rPr>
        <w:t>”</w:t>
      </w:r>
      <w:r w:rsidRPr="006A3596">
        <w:rPr>
          <w:rFonts w:ascii="Times New Roman" w:eastAsia="Songti TC" w:hAnsi="Times New Roman"/>
          <w:sz w:val="24"/>
          <w:szCs w:val="24"/>
        </w:rPr>
        <w:t>，本来都与</w:t>
      </w:r>
      <w:r w:rsidRPr="006A3596">
        <w:rPr>
          <w:rFonts w:ascii="Times New Roman" w:eastAsia="Songti TC" w:hAnsi="Times New Roman"/>
          <w:sz w:val="24"/>
          <w:szCs w:val="24"/>
        </w:rPr>
        <w:t>“</w:t>
      </w:r>
      <w:r w:rsidRPr="006A3596">
        <w:rPr>
          <w:rFonts w:ascii="Times New Roman" w:eastAsia="Songti TC" w:hAnsi="Times New Roman"/>
          <w:sz w:val="24"/>
          <w:szCs w:val="24"/>
        </w:rPr>
        <w:t>事神</w:t>
      </w:r>
      <w:r w:rsidRPr="006A3596">
        <w:rPr>
          <w:rFonts w:ascii="Times New Roman" w:eastAsia="Songti TC" w:hAnsi="Times New Roman"/>
          <w:sz w:val="24"/>
          <w:szCs w:val="24"/>
        </w:rPr>
        <w:t>”</w:t>
      </w:r>
      <w:r w:rsidRPr="006A3596">
        <w:rPr>
          <w:rFonts w:ascii="Times New Roman" w:eastAsia="Songti TC" w:hAnsi="Times New Roman"/>
          <w:sz w:val="24"/>
          <w:szCs w:val="24"/>
        </w:rPr>
        <w:t>有关；几番</w:t>
      </w:r>
      <w:r w:rsidRPr="006A3596">
        <w:rPr>
          <w:rFonts w:ascii="Times New Roman" w:eastAsia="Songti TC" w:hAnsi="Times New Roman"/>
          <w:sz w:val="24"/>
          <w:szCs w:val="24"/>
        </w:rPr>
        <w:t>“</w:t>
      </w:r>
      <w:r w:rsidRPr="006A3596">
        <w:rPr>
          <w:rFonts w:ascii="Times New Roman" w:eastAsia="Songti TC" w:hAnsi="Times New Roman"/>
          <w:sz w:val="24"/>
          <w:szCs w:val="24"/>
        </w:rPr>
        <w:t>推之</w:t>
      </w:r>
      <w:r w:rsidRPr="006A3596">
        <w:rPr>
          <w:rFonts w:ascii="Times New Roman" w:eastAsia="Songti TC" w:hAnsi="Times New Roman"/>
          <w:sz w:val="24"/>
          <w:szCs w:val="24"/>
        </w:rPr>
        <w:t>”</w:t>
      </w:r>
      <w:r w:rsidRPr="006A3596">
        <w:rPr>
          <w:rFonts w:ascii="Times New Roman" w:eastAsia="Songti TC" w:hAnsi="Times New Roman"/>
          <w:sz w:val="24"/>
          <w:szCs w:val="24"/>
        </w:rPr>
        <w:t>，便成为转向人间的</w:t>
      </w:r>
      <w:r w:rsidRPr="006A3596">
        <w:rPr>
          <w:rFonts w:ascii="Times New Roman" w:eastAsia="Songti TC" w:hAnsi="Times New Roman"/>
          <w:sz w:val="24"/>
          <w:szCs w:val="24"/>
        </w:rPr>
        <w:t>“</w:t>
      </w:r>
      <w:r w:rsidRPr="006A3596">
        <w:rPr>
          <w:rFonts w:ascii="Times New Roman" w:eastAsia="Songti TC" w:hAnsi="Times New Roman"/>
          <w:sz w:val="24"/>
          <w:szCs w:val="24"/>
        </w:rPr>
        <w:t>通谓之礼</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Fonts w:ascii="Times New Roman" w:eastAsia="Songti TC" w:hAnsi="Times New Roman"/>
          <w:sz w:val="24"/>
          <w:szCs w:val="24"/>
        </w:rPr>
        <w:t xml:space="preserve"> </w:t>
      </w:r>
    </w:p>
    <w:p w14:paraId="30749315" w14:textId="77777777" w:rsidR="00A06B54" w:rsidRPr="006A3596" w:rsidRDefault="00A06B54" w:rsidP="006A3596">
      <w:pPr>
        <w:spacing w:before="120" w:after="120"/>
        <w:ind w:firstLine="488"/>
        <w:rPr>
          <w:rFonts w:ascii="Times New Roman" w:eastAsia="Songti TC" w:hAnsi="Times New Roman"/>
          <w:sz w:val="24"/>
          <w:szCs w:val="24"/>
        </w:rPr>
      </w:pPr>
      <w:r w:rsidRPr="006A3596">
        <w:rPr>
          <w:rFonts w:ascii="Times New Roman" w:eastAsia="Songti TC" w:hAnsi="Times New Roman"/>
          <w:sz w:val="24"/>
          <w:szCs w:val="24"/>
        </w:rPr>
        <w:t>儒家经典亦可据此理解。比如孔子主张</w:t>
      </w:r>
      <w:r w:rsidRPr="006A3596">
        <w:rPr>
          <w:rFonts w:ascii="Times New Roman" w:eastAsia="Songti TC" w:hAnsi="Times New Roman"/>
          <w:sz w:val="24"/>
          <w:szCs w:val="24"/>
        </w:rPr>
        <w:t>“</w:t>
      </w:r>
      <w:r w:rsidRPr="006A3596">
        <w:rPr>
          <w:rFonts w:ascii="Times New Roman" w:eastAsia="Songti TC" w:hAnsi="Times New Roman"/>
          <w:sz w:val="24"/>
          <w:szCs w:val="24"/>
        </w:rPr>
        <w:t>道之以德，齐之以礼</w:t>
      </w:r>
      <w:r w:rsidRPr="006A3596">
        <w:rPr>
          <w:rFonts w:ascii="Times New Roman" w:eastAsia="Songti TC" w:hAnsi="Times New Roman"/>
          <w:sz w:val="24"/>
          <w:szCs w:val="24"/>
        </w:rPr>
        <w:t>”</w:t>
      </w:r>
      <w:r w:rsidRPr="006A3596">
        <w:rPr>
          <w:rFonts w:ascii="Times New Roman" w:eastAsia="Songti TC" w:hAnsi="Times New Roman"/>
          <w:sz w:val="24"/>
          <w:szCs w:val="24"/>
        </w:rPr>
        <w:t>的治理之道，因为与</w:t>
      </w:r>
      <w:r w:rsidRPr="006A3596">
        <w:rPr>
          <w:rFonts w:ascii="Times New Roman" w:eastAsia="Songti TC" w:hAnsi="Times New Roman"/>
          <w:sz w:val="24"/>
          <w:szCs w:val="24"/>
        </w:rPr>
        <w:t>“</w:t>
      </w:r>
      <w:r w:rsidRPr="006A3596">
        <w:rPr>
          <w:rFonts w:ascii="Times New Roman" w:eastAsia="Songti TC" w:hAnsi="Times New Roman"/>
          <w:sz w:val="24"/>
          <w:szCs w:val="24"/>
        </w:rPr>
        <w:t>德</w:t>
      </w:r>
      <w:r w:rsidRPr="006A3596">
        <w:rPr>
          <w:rFonts w:ascii="Times New Roman" w:eastAsia="Songti TC" w:hAnsi="Times New Roman"/>
          <w:sz w:val="24"/>
          <w:szCs w:val="24"/>
        </w:rPr>
        <w:t>”</w:t>
      </w:r>
      <w:r w:rsidRPr="006A3596">
        <w:rPr>
          <w:rFonts w:ascii="Times New Roman" w:eastAsia="Songti TC" w:hAnsi="Times New Roman"/>
          <w:sz w:val="24"/>
          <w:szCs w:val="24"/>
        </w:rPr>
        <w:t>相配的</w:t>
      </w:r>
      <w:r w:rsidRPr="006A3596">
        <w:rPr>
          <w:rFonts w:ascii="Times New Roman" w:eastAsia="Songti TC" w:hAnsi="Times New Roman"/>
          <w:sz w:val="24"/>
          <w:szCs w:val="24"/>
        </w:rPr>
        <w:t>“</w:t>
      </w:r>
      <w:r w:rsidRPr="006A3596">
        <w:rPr>
          <w:rFonts w:ascii="Times New Roman" w:eastAsia="Songti TC" w:hAnsi="Times New Roman"/>
          <w:sz w:val="24"/>
          <w:szCs w:val="24"/>
        </w:rPr>
        <w:t>礼</w:t>
      </w:r>
      <w:r w:rsidRPr="006A3596">
        <w:rPr>
          <w:rFonts w:ascii="Times New Roman" w:eastAsia="Songti TC" w:hAnsi="Times New Roman"/>
          <w:sz w:val="24"/>
          <w:szCs w:val="24"/>
        </w:rPr>
        <w:t>”</w:t>
      </w:r>
      <w:r w:rsidRPr="006A3596">
        <w:rPr>
          <w:rFonts w:ascii="Times New Roman" w:eastAsia="Songti TC" w:hAnsi="Times New Roman"/>
          <w:sz w:val="24"/>
          <w:szCs w:val="24"/>
        </w:rPr>
        <w:t>不仅可以建立法度，还能令百姓自我约束，亦即</w:t>
      </w:r>
      <w:r w:rsidRPr="006A3596">
        <w:rPr>
          <w:rFonts w:ascii="Times New Roman" w:eastAsia="Songti TC" w:hAnsi="Times New Roman"/>
          <w:sz w:val="24"/>
          <w:szCs w:val="24"/>
        </w:rPr>
        <w:t>“</w:t>
      </w:r>
      <w:r w:rsidRPr="006A3596">
        <w:rPr>
          <w:rFonts w:ascii="Times New Roman" w:eastAsia="Songti TC" w:hAnsi="Times New Roman"/>
          <w:sz w:val="24"/>
          <w:szCs w:val="24"/>
        </w:rPr>
        <w:t>知耻且格</w:t>
      </w:r>
      <w:r w:rsidRPr="006A3596">
        <w:rPr>
          <w:rFonts w:ascii="Times New Roman" w:eastAsia="Songti TC" w:hAnsi="Times New Roman"/>
          <w:sz w:val="24"/>
          <w:szCs w:val="24"/>
        </w:rPr>
        <w:t>”</w:t>
      </w:r>
      <w:r w:rsidRPr="006A3596">
        <w:rPr>
          <w:rFonts w:ascii="Times New Roman" w:eastAsia="Songti TC" w:hAnsi="Times New Roman"/>
          <w:sz w:val="24"/>
          <w:szCs w:val="24"/>
        </w:rPr>
        <w:t>（《论语</w:t>
      </w:r>
      <w:r w:rsidRPr="006A3596">
        <w:rPr>
          <w:rFonts w:ascii="Times New Roman" w:eastAsia="Songti TC" w:hAnsi="Times New Roman"/>
          <w:sz w:val="24"/>
          <w:szCs w:val="24"/>
        </w:rPr>
        <w:t>•</w:t>
      </w:r>
      <w:r w:rsidRPr="006A3596">
        <w:rPr>
          <w:rFonts w:ascii="Times New Roman" w:eastAsia="Songti TC" w:hAnsi="Times New Roman"/>
          <w:sz w:val="24"/>
          <w:szCs w:val="24"/>
        </w:rPr>
        <w:t>为政》）。乃至儒家有</w:t>
      </w:r>
      <w:r w:rsidRPr="006A3596">
        <w:rPr>
          <w:rFonts w:ascii="Times New Roman" w:eastAsia="Songti TC" w:hAnsi="Times New Roman"/>
          <w:sz w:val="24"/>
          <w:szCs w:val="24"/>
        </w:rPr>
        <w:t>“</w:t>
      </w:r>
      <w:r w:rsidRPr="006A3596">
        <w:rPr>
          <w:rFonts w:ascii="Times New Roman" w:eastAsia="Songti TC" w:hAnsi="Times New Roman"/>
          <w:sz w:val="24"/>
          <w:szCs w:val="24"/>
        </w:rPr>
        <w:t>十三经</w:t>
      </w:r>
      <w:r w:rsidRPr="006A3596">
        <w:rPr>
          <w:rFonts w:ascii="Times New Roman" w:eastAsia="Songti TC" w:hAnsi="Times New Roman"/>
          <w:sz w:val="24"/>
          <w:szCs w:val="24"/>
        </w:rPr>
        <w:t>”</w:t>
      </w:r>
      <w:r w:rsidRPr="006A3596">
        <w:rPr>
          <w:rFonts w:ascii="Times New Roman" w:eastAsia="Songti TC" w:hAnsi="Times New Roman"/>
          <w:sz w:val="24"/>
          <w:szCs w:val="24"/>
        </w:rPr>
        <w:t>，而《周礼》《仪礼》《礼记》已占其三。至于</w:t>
      </w:r>
      <w:r w:rsidRPr="006A3596">
        <w:rPr>
          <w:rFonts w:ascii="Times New Roman" w:eastAsia="Songti TC" w:hAnsi="Times New Roman"/>
          <w:sz w:val="24"/>
          <w:szCs w:val="24"/>
        </w:rPr>
        <w:t>“</w:t>
      </w:r>
      <w:r w:rsidRPr="006A3596">
        <w:rPr>
          <w:rFonts w:ascii="Times New Roman" w:eastAsia="Songti TC" w:hAnsi="Times New Roman"/>
          <w:sz w:val="24"/>
          <w:szCs w:val="24"/>
        </w:rPr>
        <w:t>礼起于何也</w:t>
      </w:r>
      <w:r w:rsidRPr="006A3596">
        <w:rPr>
          <w:rFonts w:ascii="Times New Roman" w:eastAsia="Songti TC" w:hAnsi="Times New Roman"/>
          <w:sz w:val="24"/>
          <w:szCs w:val="24"/>
        </w:rPr>
        <w:t>”</w:t>
      </w:r>
      <w:r w:rsidRPr="006A3596">
        <w:rPr>
          <w:rFonts w:ascii="Times New Roman" w:eastAsia="Songti TC" w:hAnsi="Times New Roman"/>
          <w:sz w:val="24"/>
          <w:szCs w:val="24"/>
        </w:rPr>
        <w:t>，也不再关系到祭祀，却成为人性的追究。</w:t>
      </w:r>
    </w:p>
    <w:p w14:paraId="033B5A55" w14:textId="77777777" w:rsidR="00A06B54" w:rsidRPr="006A3596" w:rsidRDefault="00A06B54" w:rsidP="006A3596">
      <w:pPr>
        <w:spacing w:before="120" w:after="120"/>
        <w:ind w:firstLine="488"/>
        <w:rPr>
          <w:rFonts w:ascii="Times New Roman" w:eastAsia="Songti TC" w:hAnsi="Times New Roman"/>
          <w:sz w:val="24"/>
          <w:szCs w:val="24"/>
        </w:rPr>
      </w:pPr>
      <w:r w:rsidRPr="006A3596">
        <w:rPr>
          <w:rFonts w:ascii="Times New Roman" w:eastAsia="Songti TC" w:hAnsi="Times New Roman"/>
          <w:sz w:val="24"/>
          <w:szCs w:val="24"/>
        </w:rPr>
        <w:t>就此，《荀子</w:t>
      </w:r>
      <w:r w:rsidRPr="006A3596">
        <w:rPr>
          <w:rFonts w:ascii="Times New Roman" w:eastAsia="Songti TC" w:hAnsi="Times New Roman"/>
          <w:sz w:val="24"/>
          <w:szCs w:val="24"/>
        </w:rPr>
        <w:t>•</w:t>
      </w:r>
      <w:r w:rsidRPr="006A3596">
        <w:rPr>
          <w:rFonts w:ascii="Times New Roman" w:eastAsia="Songti TC" w:hAnsi="Times New Roman"/>
          <w:sz w:val="24"/>
          <w:szCs w:val="24"/>
        </w:rPr>
        <w:t>礼论》的解析最为辩证：</w:t>
      </w:r>
      <w:r w:rsidRPr="006A3596">
        <w:rPr>
          <w:rFonts w:ascii="Times New Roman" w:eastAsia="Songti TC" w:hAnsi="Times New Roman"/>
          <w:sz w:val="24"/>
          <w:szCs w:val="24"/>
        </w:rPr>
        <w:t>“</w:t>
      </w:r>
      <w:r w:rsidRPr="006A3596">
        <w:rPr>
          <w:rFonts w:ascii="Times New Roman" w:eastAsia="Songti TC" w:hAnsi="Times New Roman"/>
          <w:sz w:val="24"/>
          <w:szCs w:val="24"/>
        </w:rPr>
        <w:t>人生而有欲，欲而不得，则不能无求。求而无度量分界，则不能不争；争则乱，乱则穷。先王恶其乱也，故制礼义以分之。</w:t>
      </w:r>
      <w:r w:rsidRPr="006A3596">
        <w:rPr>
          <w:rFonts w:ascii="Times New Roman" w:eastAsia="Songti TC" w:hAnsi="Times New Roman"/>
          <w:sz w:val="24"/>
          <w:szCs w:val="24"/>
        </w:rPr>
        <w:t>”</w:t>
      </w:r>
      <w:r w:rsidRPr="006A3596">
        <w:rPr>
          <w:rFonts w:ascii="Times New Roman" w:eastAsia="Songti TC" w:hAnsi="Times New Roman"/>
          <w:sz w:val="24"/>
          <w:szCs w:val="24"/>
        </w:rPr>
        <w:t>具体的办法则是</w:t>
      </w:r>
      <w:r w:rsidRPr="006A3596">
        <w:rPr>
          <w:rFonts w:ascii="Times New Roman" w:eastAsia="Songti TC" w:hAnsi="Times New Roman"/>
          <w:sz w:val="24"/>
          <w:szCs w:val="24"/>
        </w:rPr>
        <w:t>“</w:t>
      </w:r>
      <w:r w:rsidRPr="006A3596">
        <w:rPr>
          <w:rFonts w:ascii="Times New Roman" w:eastAsia="Songti TC" w:hAnsi="Times New Roman"/>
          <w:sz w:val="24"/>
          <w:szCs w:val="24"/>
        </w:rPr>
        <w:t>养人之欲，给人之求</w:t>
      </w:r>
      <w:r w:rsidRPr="006A3596">
        <w:rPr>
          <w:rFonts w:ascii="Times New Roman" w:eastAsia="Songti TC" w:hAnsi="Times New Roman"/>
          <w:sz w:val="24"/>
          <w:szCs w:val="24"/>
        </w:rPr>
        <w:t>”</w:t>
      </w:r>
      <w:r w:rsidRPr="006A3596">
        <w:rPr>
          <w:rFonts w:ascii="Times New Roman" w:eastAsia="Songti TC" w:hAnsi="Times New Roman"/>
          <w:sz w:val="24"/>
          <w:szCs w:val="24"/>
        </w:rPr>
        <w:t>，使之</w:t>
      </w:r>
      <w:r w:rsidRPr="006A3596">
        <w:rPr>
          <w:rFonts w:ascii="Times New Roman" w:eastAsia="Songti TC" w:hAnsi="Times New Roman"/>
          <w:sz w:val="24"/>
          <w:szCs w:val="24"/>
        </w:rPr>
        <w:t>“</w:t>
      </w:r>
      <w:r w:rsidRPr="006A3596">
        <w:rPr>
          <w:rFonts w:ascii="Times New Roman" w:eastAsia="Songti TC" w:hAnsi="Times New Roman"/>
          <w:sz w:val="24"/>
          <w:szCs w:val="24"/>
        </w:rPr>
        <w:t>相持而长</w:t>
      </w:r>
      <w:r w:rsidRPr="006A3596">
        <w:rPr>
          <w:rFonts w:ascii="Times New Roman" w:eastAsia="Songti TC" w:hAnsi="Times New Roman"/>
          <w:sz w:val="24"/>
          <w:szCs w:val="24"/>
        </w:rPr>
        <w:t>”</w:t>
      </w:r>
      <w:r w:rsidRPr="006A3596">
        <w:rPr>
          <w:rFonts w:ascii="Times New Roman" w:eastAsia="Songti TC" w:hAnsi="Times New Roman"/>
          <w:sz w:val="24"/>
          <w:szCs w:val="24"/>
        </w:rPr>
        <w:t>。简单说，欲求本属自然，</w:t>
      </w:r>
      <w:r w:rsidRPr="006A3596">
        <w:rPr>
          <w:rFonts w:ascii="Times New Roman" w:eastAsia="Songti TC" w:hAnsi="Times New Roman"/>
          <w:sz w:val="24"/>
          <w:szCs w:val="24"/>
        </w:rPr>
        <w:t>“</w:t>
      </w:r>
      <w:r w:rsidRPr="006A3596">
        <w:rPr>
          <w:rFonts w:ascii="Times New Roman" w:eastAsia="Songti TC" w:hAnsi="Times New Roman"/>
          <w:sz w:val="24"/>
          <w:szCs w:val="24"/>
        </w:rPr>
        <w:t>礼</w:t>
      </w:r>
      <w:r w:rsidRPr="006A3596">
        <w:rPr>
          <w:rFonts w:ascii="Times New Roman" w:eastAsia="Songti TC" w:hAnsi="Times New Roman"/>
          <w:sz w:val="24"/>
          <w:szCs w:val="24"/>
        </w:rPr>
        <w:t>”</w:t>
      </w:r>
      <w:r w:rsidRPr="006A3596">
        <w:rPr>
          <w:rFonts w:ascii="Times New Roman" w:eastAsia="Songti TC" w:hAnsi="Times New Roman"/>
          <w:sz w:val="24"/>
          <w:szCs w:val="24"/>
        </w:rPr>
        <w:t>的规范并非</w:t>
      </w:r>
      <w:r w:rsidRPr="006A3596">
        <w:rPr>
          <w:rFonts w:ascii="Times New Roman" w:eastAsia="Songti TC" w:hAnsi="Times New Roman"/>
          <w:sz w:val="24"/>
          <w:szCs w:val="24"/>
        </w:rPr>
        <w:t>“</w:t>
      </w:r>
      <w:r w:rsidRPr="006A3596">
        <w:rPr>
          <w:rFonts w:ascii="Times New Roman" w:eastAsia="Songti TC" w:hAnsi="Times New Roman"/>
          <w:sz w:val="24"/>
          <w:szCs w:val="24"/>
        </w:rPr>
        <w:t>灭人欲</w:t>
      </w:r>
      <w:r w:rsidRPr="006A3596">
        <w:rPr>
          <w:rFonts w:ascii="Times New Roman" w:eastAsia="Songti TC" w:hAnsi="Times New Roman"/>
          <w:sz w:val="24"/>
          <w:szCs w:val="24"/>
        </w:rPr>
        <w:t>”</w:t>
      </w:r>
      <w:r w:rsidRPr="006A3596">
        <w:rPr>
          <w:rFonts w:ascii="Times New Roman" w:eastAsia="Songti TC" w:hAnsi="Times New Roman"/>
          <w:sz w:val="24"/>
          <w:szCs w:val="24"/>
        </w:rPr>
        <w:t>，而是使欲求和所求相互平衡。</w:t>
      </w:r>
    </w:p>
    <w:p w14:paraId="17053038" w14:textId="77777777" w:rsidR="00A06B54" w:rsidRPr="006A3596" w:rsidRDefault="00A06B54" w:rsidP="006A3596">
      <w:pPr>
        <w:spacing w:before="120" w:after="120"/>
        <w:ind w:firstLine="488"/>
        <w:rPr>
          <w:rFonts w:ascii="Times New Roman" w:eastAsia="Songti TC" w:hAnsi="Times New Roman"/>
          <w:sz w:val="24"/>
          <w:szCs w:val="24"/>
        </w:rPr>
      </w:pPr>
      <w:r w:rsidRPr="006A3596">
        <w:rPr>
          <w:rFonts w:ascii="Times New Roman" w:eastAsia="Songti TC" w:hAnsi="Times New Roman"/>
          <w:sz w:val="24"/>
          <w:szCs w:val="24"/>
        </w:rPr>
        <w:t>荀子说</w:t>
      </w:r>
      <w:r w:rsidRPr="006A3596">
        <w:rPr>
          <w:rFonts w:ascii="Times New Roman" w:eastAsia="Songti TC" w:hAnsi="Times New Roman"/>
          <w:sz w:val="24"/>
          <w:szCs w:val="24"/>
        </w:rPr>
        <w:t>“</w:t>
      </w:r>
      <w:r w:rsidRPr="006A3596">
        <w:rPr>
          <w:rFonts w:ascii="Times New Roman" w:eastAsia="Songti TC" w:hAnsi="Times New Roman"/>
          <w:sz w:val="24"/>
          <w:szCs w:val="24"/>
        </w:rPr>
        <w:t>礼</w:t>
      </w:r>
      <w:r w:rsidRPr="006A3596">
        <w:rPr>
          <w:rFonts w:ascii="Times New Roman" w:eastAsia="Songti TC" w:hAnsi="Times New Roman"/>
          <w:sz w:val="24"/>
          <w:szCs w:val="24"/>
        </w:rPr>
        <w:t>”</w:t>
      </w:r>
      <w:r w:rsidRPr="006A3596">
        <w:rPr>
          <w:rFonts w:ascii="Times New Roman" w:eastAsia="Songti TC" w:hAnsi="Times New Roman"/>
          <w:sz w:val="24"/>
          <w:szCs w:val="24"/>
        </w:rPr>
        <w:t>的核心，在于</w:t>
      </w:r>
      <w:r w:rsidRPr="006A3596">
        <w:rPr>
          <w:rFonts w:ascii="Times New Roman" w:eastAsia="Songti TC" w:hAnsi="Times New Roman"/>
          <w:sz w:val="24"/>
          <w:szCs w:val="24"/>
        </w:rPr>
        <w:t>“</w:t>
      </w:r>
      <w:r w:rsidRPr="006A3596">
        <w:rPr>
          <w:rFonts w:ascii="Times New Roman" w:eastAsia="Songti TC" w:hAnsi="Times New Roman"/>
          <w:sz w:val="24"/>
          <w:szCs w:val="24"/>
        </w:rPr>
        <w:t>使欲必不穷于物，物必不屈于欲</w:t>
      </w:r>
      <w:r w:rsidRPr="006A3596">
        <w:rPr>
          <w:rFonts w:ascii="Times New Roman" w:eastAsia="Songti TC" w:hAnsi="Times New Roman"/>
          <w:sz w:val="24"/>
          <w:szCs w:val="24"/>
        </w:rPr>
        <w:t>”</w:t>
      </w:r>
      <w:r w:rsidRPr="006A3596">
        <w:rPr>
          <w:rFonts w:ascii="Times New Roman" w:eastAsia="Songti TC" w:hAnsi="Times New Roman"/>
          <w:sz w:val="24"/>
          <w:szCs w:val="24"/>
        </w:rPr>
        <w:t>，从而</w:t>
      </w:r>
      <w:r w:rsidRPr="006A3596">
        <w:rPr>
          <w:rFonts w:ascii="Times New Roman" w:eastAsia="Songti TC" w:hAnsi="Times New Roman"/>
          <w:sz w:val="24"/>
          <w:szCs w:val="24"/>
        </w:rPr>
        <w:t>“</w:t>
      </w:r>
      <w:r w:rsidRPr="006A3596">
        <w:rPr>
          <w:rFonts w:ascii="Times New Roman" w:eastAsia="Songti TC" w:hAnsi="Times New Roman"/>
          <w:sz w:val="24"/>
          <w:szCs w:val="24"/>
        </w:rPr>
        <w:t>物</w:t>
      </w:r>
      <w:r w:rsidRPr="006A3596">
        <w:rPr>
          <w:rFonts w:ascii="Times New Roman" w:eastAsia="Songti TC" w:hAnsi="Times New Roman"/>
          <w:sz w:val="24"/>
          <w:szCs w:val="24"/>
        </w:rPr>
        <w:t>”</w:t>
      </w:r>
      <w:r w:rsidRPr="006A3596">
        <w:rPr>
          <w:rFonts w:ascii="Times New Roman" w:eastAsia="Songti TC" w:hAnsi="Times New Roman"/>
          <w:sz w:val="24"/>
          <w:szCs w:val="24"/>
        </w:rPr>
        <w:t>亦成为</w:t>
      </w:r>
      <w:r w:rsidRPr="006A3596">
        <w:rPr>
          <w:rFonts w:ascii="Times New Roman" w:eastAsia="Songti TC" w:hAnsi="Times New Roman"/>
          <w:sz w:val="24"/>
          <w:szCs w:val="24"/>
        </w:rPr>
        <w:t>“</w:t>
      </w:r>
      <w:r w:rsidRPr="006A3596">
        <w:rPr>
          <w:rFonts w:ascii="Times New Roman" w:eastAsia="Songti TC" w:hAnsi="Times New Roman"/>
          <w:sz w:val="24"/>
          <w:szCs w:val="24"/>
        </w:rPr>
        <w:t>礼</w:t>
      </w:r>
      <w:r w:rsidRPr="006A3596">
        <w:rPr>
          <w:rFonts w:ascii="Times New Roman" w:eastAsia="Songti TC" w:hAnsi="Times New Roman"/>
          <w:sz w:val="24"/>
          <w:szCs w:val="24"/>
        </w:rPr>
        <w:t>”</w:t>
      </w:r>
      <w:r w:rsidRPr="006A3596">
        <w:rPr>
          <w:rFonts w:ascii="Times New Roman" w:eastAsia="Songti TC" w:hAnsi="Times New Roman"/>
          <w:sz w:val="24"/>
          <w:szCs w:val="24"/>
        </w:rPr>
        <w:t>的维系。</w:t>
      </w:r>
      <w:r w:rsidRPr="006A3596">
        <w:rPr>
          <w:rFonts w:ascii="Times New Roman" w:eastAsia="Songti TC" w:hAnsi="Times New Roman"/>
          <w:sz w:val="24"/>
          <w:szCs w:val="24"/>
        </w:rPr>
        <w:t>“</w:t>
      </w:r>
      <w:r w:rsidRPr="006A3596">
        <w:rPr>
          <w:rFonts w:ascii="Times New Roman" w:eastAsia="Songti TC" w:hAnsi="Times New Roman"/>
          <w:sz w:val="24"/>
          <w:szCs w:val="24"/>
        </w:rPr>
        <w:t>礼</w:t>
      </w:r>
      <w:r w:rsidRPr="006A3596">
        <w:rPr>
          <w:rFonts w:ascii="Times New Roman" w:eastAsia="Songti TC" w:hAnsi="Times New Roman"/>
          <w:sz w:val="24"/>
          <w:szCs w:val="24"/>
        </w:rPr>
        <w:t>”</w:t>
      </w:r>
      <w:r w:rsidRPr="006A3596">
        <w:rPr>
          <w:rFonts w:ascii="Times New Roman" w:eastAsia="Songti TC" w:hAnsi="Times New Roman"/>
          <w:sz w:val="24"/>
          <w:szCs w:val="24"/>
        </w:rPr>
        <w:t>与</w:t>
      </w:r>
      <w:r w:rsidRPr="006A3596">
        <w:rPr>
          <w:rFonts w:ascii="Times New Roman" w:eastAsia="Songti TC" w:hAnsi="Times New Roman"/>
          <w:sz w:val="24"/>
          <w:szCs w:val="24"/>
        </w:rPr>
        <w:t>“</w:t>
      </w:r>
      <w:r w:rsidRPr="006A3596">
        <w:rPr>
          <w:rFonts w:ascii="Times New Roman" w:eastAsia="Songti TC" w:hAnsi="Times New Roman"/>
          <w:sz w:val="24"/>
          <w:szCs w:val="24"/>
        </w:rPr>
        <w:t>物</w:t>
      </w:r>
      <w:r w:rsidRPr="006A3596">
        <w:rPr>
          <w:rFonts w:ascii="Times New Roman" w:eastAsia="Songti TC" w:hAnsi="Times New Roman"/>
          <w:sz w:val="24"/>
          <w:szCs w:val="24"/>
        </w:rPr>
        <w:t>”</w:t>
      </w:r>
      <w:r w:rsidRPr="006A3596">
        <w:rPr>
          <w:rFonts w:ascii="Times New Roman" w:eastAsia="Songti TC" w:hAnsi="Times New Roman"/>
          <w:sz w:val="24"/>
          <w:szCs w:val="24"/>
        </w:rPr>
        <w:t>二字的并用，已至</w:t>
      </w:r>
      <w:r w:rsidRPr="006A3596">
        <w:rPr>
          <w:rFonts w:ascii="Times New Roman" w:eastAsia="Songti TC" w:hAnsi="Times New Roman"/>
          <w:sz w:val="24"/>
          <w:szCs w:val="24"/>
        </w:rPr>
        <w:t xml:space="preserve"> 2 </w:t>
      </w:r>
      <w:r w:rsidRPr="006A3596">
        <w:rPr>
          <w:rFonts w:ascii="Times New Roman" w:eastAsia="Songti TC" w:hAnsi="Times New Roman"/>
          <w:sz w:val="24"/>
          <w:szCs w:val="24"/>
        </w:rPr>
        <w:t>世纪，《册魏公九锡文》有</w:t>
      </w:r>
      <w:r w:rsidRPr="006A3596">
        <w:rPr>
          <w:rFonts w:ascii="Times New Roman" w:eastAsia="Songti TC" w:hAnsi="Times New Roman"/>
          <w:sz w:val="24"/>
          <w:szCs w:val="24"/>
        </w:rPr>
        <w:t>“</w:t>
      </w:r>
      <w:r w:rsidRPr="006A3596">
        <w:rPr>
          <w:rFonts w:ascii="Times New Roman" w:eastAsia="Songti TC" w:hAnsi="Times New Roman"/>
          <w:sz w:val="24"/>
          <w:szCs w:val="24"/>
        </w:rPr>
        <w:t>崇其宠章，备其礼物</w:t>
      </w:r>
      <w:r w:rsidRPr="006A3596">
        <w:rPr>
          <w:rFonts w:ascii="Times New Roman" w:eastAsia="Songti TC" w:hAnsi="Times New Roman"/>
          <w:sz w:val="24"/>
          <w:szCs w:val="24"/>
        </w:rPr>
        <w:t>”</w:t>
      </w:r>
      <w:r w:rsidRPr="006A3596">
        <w:rPr>
          <w:rFonts w:ascii="Times New Roman" w:eastAsia="Songti TC" w:hAnsi="Times New Roman"/>
          <w:sz w:val="24"/>
          <w:szCs w:val="24"/>
        </w:rPr>
        <w:t>（《文选》卷三十五）之语；不过彼时的</w:t>
      </w:r>
      <w:r w:rsidRPr="006A3596">
        <w:rPr>
          <w:rFonts w:ascii="Times New Roman" w:eastAsia="Songti TC" w:hAnsi="Times New Roman"/>
          <w:sz w:val="24"/>
          <w:szCs w:val="24"/>
        </w:rPr>
        <w:t>“</w:t>
      </w:r>
      <w:r w:rsidRPr="006A3596">
        <w:rPr>
          <w:rFonts w:ascii="Times New Roman" w:eastAsia="Songti TC" w:hAnsi="Times New Roman"/>
          <w:sz w:val="24"/>
          <w:szCs w:val="24"/>
        </w:rPr>
        <w:t>礼物</w:t>
      </w:r>
      <w:r w:rsidRPr="006A3596">
        <w:rPr>
          <w:rFonts w:ascii="Times New Roman" w:eastAsia="Songti TC" w:hAnsi="Times New Roman"/>
          <w:sz w:val="24"/>
          <w:szCs w:val="24"/>
        </w:rPr>
        <w:t>”</w:t>
      </w:r>
      <w:r w:rsidRPr="006A3596">
        <w:rPr>
          <w:rFonts w:ascii="Times New Roman" w:eastAsia="Songti TC" w:hAnsi="Times New Roman"/>
          <w:sz w:val="24"/>
          <w:szCs w:val="24"/>
        </w:rPr>
        <w:t>可能还是指</w:t>
      </w:r>
      <w:r w:rsidRPr="006A3596">
        <w:rPr>
          <w:rFonts w:ascii="Times New Roman" w:eastAsia="Songti TC" w:hAnsi="Times New Roman"/>
          <w:sz w:val="24"/>
          <w:szCs w:val="24"/>
        </w:rPr>
        <w:t>“</w:t>
      </w:r>
      <w:r w:rsidRPr="006A3596">
        <w:rPr>
          <w:rFonts w:ascii="Times New Roman" w:eastAsia="Songti TC" w:hAnsi="Times New Roman"/>
          <w:sz w:val="24"/>
          <w:szCs w:val="24"/>
        </w:rPr>
        <w:t>典礼</w:t>
      </w:r>
      <w:r w:rsidRPr="006A3596">
        <w:rPr>
          <w:rFonts w:ascii="Times New Roman" w:eastAsia="Songti TC" w:hAnsi="Times New Roman"/>
          <w:sz w:val="24"/>
          <w:szCs w:val="24"/>
        </w:rPr>
        <w:t>”</w:t>
      </w:r>
      <w:r w:rsidRPr="006A3596">
        <w:rPr>
          <w:rFonts w:ascii="Times New Roman" w:eastAsia="Songti TC" w:hAnsi="Times New Roman"/>
          <w:sz w:val="24"/>
          <w:szCs w:val="24"/>
        </w:rPr>
        <w:t>与</w:t>
      </w:r>
      <w:r w:rsidRPr="006A3596">
        <w:rPr>
          <w:rFonts w:ascii="Times New Roman" w:eastAsia="Songti TC" w:hAnsi="Times New Roman"/>
          <w:sz w:val="24"/>
          <w:szCs w:val="24"/>
        </w:rPr>
        <w:t>“</w:t>
      </w:r>
      <w:r w:rsidRPr="006A3596">
        <w:rPr>
          <w:rFonts w:ascii="Times New Roman" w:eastAsia="Songti TC" w:hAnsi="Times New Roman"/>
          <w:sz w:val="24"/>
          <w:szCs w:val="24"/>
        </w:rPr>
        <w:t>文物</w:t>
      </w:r>
      <w:r w:rsidRPr="006A3596">
        <w:rPr>
          <w:rFonts w:ascii="Times New Roman" w:eastAsia="Songti TC" w:hAnsi="Times New Roman"/>
          <w:sz w:val="24"/>
          <w:szCs w:val="24"/>
        </w:rPr>
        <w:t>”</w:t>
      </w:r>
      <w:r w:rsidRPr="006A3596">
        <w:rPr>
          <w:rFonts w:ascii="Times New Roman" w:eastAsia="Songti TC" w:hAnsi="Times New Roman"/>
          <w:sz w:val="24"/>
          <w:szCs w:val="24"/>
        </w:rPr>
        <w:t>，与后世所谓的</w:t>
      </w:r>
      <w:r w:rsidRPr="006A3596">
        <w:rPr>
          <w:rFonts w:ascii="Times New Roman" w:eastAsia="Songti TC" w:hAnsi="Times New Roman"/>
          <w:sz w:val="24"/>
          <w:szCs w:val="24"/>
        </w:rPr>
        <w:t>“</w:t>
      </w:r>
      <w:r w:rsidRPr="006A3596">
        <w:rPr>
          <w:rFonts w:ascii="Times New Roman" w:eastAsia="Songti TC" w:hAnsi="Times New Roman"/>
          <w:sz w:val="24"/>
          <w:szCs w:val="24"/>
        </w:rPr>
        <w:t>礼物</w:t>
      </w:r>
      <w:r w:rsidRPr="006A3596">
        <w:rPr>
          <w:rFonts w:ascii="Times New Roman" w:eastAsia="Songti TC" w:hAnsi="Times New Roman"/>
          <w:sz w:val="24"/>
          <w:szCs w:val="24"/>
        </w:rPr>
        <w:t>”</w:t>
      </w:r>
      <w:r w:rsidRPr="006A3596">
        <w:rPr>
          <w:rFonts w:ascii="Times New Roman" w:eastAsia="Songti TC" w:hAnsi="Times New Roman"/>
          <w:sz w:val="24"/>
          <w:szCs w:val="24"/>
        </w:rPr>
        <w:t>有所不同。《礼记</w:t>
      </w:r>
      <w:r w:rsidRPr="006A3596">
        <w:rPr>
          <w:rFonts w:ascii="Times New Roman" w:eastAsia="Songti TC" w:hAnsi="Times New Roman"/>
          <w:sz w:val="24"/>
          <w:szCs w:val="24"/>
        </w:rPr>
        <w:t>•</w:t>
      </w:r>
      <w:r w:rsidRPr="006A3596">
        <w:rPr>
          <w:rFonts w:ascii="Times New Roman" w:eastAsia="Songti TC" w:hAnsi="Times New Roman"/>
          <w:sz w:val="24"/>
          <w:szCs w:val="24"/>
        </w:rPr>
        <w:t>表记》的无辞不相接，无礼不相见</w:t>
      </w:r>
      <w:r w:rsidRPr="006A3596">
        <w:rPr>
          <w:rFonts w:ascii="Times New Roman" w:eastAsia="Songti TC" w:hAnsi="Times New Roman"/>
          <w:sz w:val="24"/>
          <w:szCs w:val="24"/>
        </w:rPr>
        <w:t>”</w:t>
      </w:r>
      <w:r w:rsidRPr="006A3596">
        <w:rPr>
          <w:rFonts w:ascii="Times New Roman" w:eastAsia="Songti TC" w:hAnsi="Times New Roman"/>
          <w:sz w:val="24"/>
          <w:szCs w:val="24"/>
        </w:rPr>
        <w:t>，才是借助言辞或者物品与人沟通，从而</w:t>
      </w:r>
      <w:r w:rsidRPr="006A3596">
        <w:rPr>
          <w:rFonts w:ascii="Times New Roman" w:eastAsia="Songti TC" w:hAnsi="Times New Roman"/>
          <w:sz w:val="24"/>
          <w:szCs w:val="24"/>
        </w:rPr>
        <w:t>“</w:t>
      </w:r>
      <w:r w:rsidRPr="006A3596">
        <w:rPr>
          <w:rFonts w:ascii="Times New Roman" w:eastAsia="Songti TC" w:hAnsi="Times New Roman"/>
          <w:kern w:val="0"/>
          <w:sz w:val="24"/>
          <w:szCs w:val="24"/>
        </w:rPr>
        <w:t>毋相亵也</w:t>
      </w:r>
      <w:r w:rsidRPr="006A3596">
        <w:rPr>
          <w:rFonts w:ascii="Times New Roman" w:eastAsia="Songti TC" w:hAnsi="Times New Roman"/>
          <w:sz w:val="24"/>
          <w:szCs w:val="24"/>
        </w:rPr>
        <w:t>”</w:t>
      </w:r>
      <w:r w:rsidRPr="006A3596">
        <w:rPr>
          <w:rFonts w:ascii="Times New Roman" w:eastAsia="Songti TC" w:hAnsi="Times New Roman"/>
          <w:sz w:val="24"/>
          <w:szCs w:val="24"/>
        </w:rPr>
        <w:t>。至两晋时代</w:t>
      </w:r>
      <w:r w:rsidRPr="006A3596">
        <w:rPr>
          <w:rStyle w:val="smcs"/>
          <w:rFonts w:ascii="Times New Roman" w:eastAsia="Songti TC" w:hAnsi="Times New Roman"/>
          <w:bCs/>
          <w:sz w:val="24"/>
          <w:szCs w:val="24"/>
          <w:bdr w:val="none" w:sz="0" w:space="0" w:color="auto" w:frame="1"/>
          <w:shd w:val="clear" w:color="auto" w:fill="FFFFFF"/>
        </w:rPr>
        <w:t>有陆纳送桓温</w:t>
      </w:r>
      <w:r w:rsidRPr="006A3596">
        <w:rPr>
          <w:rStyle w:val="smcs"/>
          <w:rFonts w:ascii="Times New Roman" w:eastAsia="Songti TC" w:hAnsi="Times New Roman"/>
          <w:bCs/>
          <w:sz w:val="24"/>
          <w:szCs w:val="24"/>
          <w:bdr w:val="none" w:sz="0" w:space="0" w:color="auto" w:frame="1"/>
          <w:shd w:val="clear" w:color="auto" w:fill="FFFFFF"/>
        </w:rPr>
        <w:t>“</w:t>
      </w:r>
      <w:r w:rsidRPr="006A3596">
        <w:rPr>
          <w:rStyle w:val="smcs"/>
          <w:rFonts w:ascii="Times New Roman" w:eastAsia="Songti TC" w:hAnsi="Times New Roman"/>
          <w:bCs/>
          <w:sz w:val="24"/>
          <w:szCs w:val="24"/>
          <w:bdr w:val="none" w:sz="0" w:space="0" w:color="auto" w:frame="1"/>
          <w:shd w:val="clear" w:color="auto" w:fill="FFFFFF"/>
        </w:rPr>
        <w:t>微礼</w:t>
      </w:r>
      <w:r w:rsidRPr="006A3596">
        <w:rPr>
          <w:rStyle w:val="smcs"/>
          <w:rFonts w:ascii="Times New Roman" w:eastAsia="Songti TC" w:hAnsi="Times New Roman"/>
          <w:bCs/>
          <w:sz w:val="24"/>
          <w:szCs w:val="24"/>
          <w:bdr w:val="none" w:sz="0" w:space="0" w:color="auto" w:frame="1"/>
          <w:shd w:val="clear" w:color="auto" w:fill="FFFFFF"/>
        </w:rPr>
        <w:t>”</w:t>
      </w:r>
      <w:r w:rsidRPr="006A3596">
        <w:rPr>
          <w:rStyle w:val="smcs"/>
          <w:rFonts w:ascii="Times New Roman" w:eastAsia="Songti TC" w:hAnsi="Times New Roman"/>
          <w:bCs/>
          <w:sz w:val="24"/>
          <w:szCs w:val="24"/>
          <w:bdr w:val="none" w:sz="0" w:space="0" w:color="auto" w:frame="1"/>
          <w:shd w:val="clear" w:color="auto" w:fill="FFFFFF"/>
        </w:rPr>
        <w:t>的故事，其中</w:t>
      </w:r>
      <w:r w:rsidRPr="006A3596">
        <w:rPr>
          <w:rStyle w:val="smcs"/>
          <w:rFonts w:ascii="Times New Roman" w:eastAsia="Songti TC" w:hAnsi="Times New Roman"/>
          <w:bCs/>
          <w:sz w:val="24"/>
          <w:szCs w:val="24"/>
          <w:bdr w:val="none" w:sz="0" w:space="0" w:color="auto" w:frame="1"/>
          <w:shd w:val="clear" w:color="auto" w:fill="FFFFFF"/>
        </w:rPr>
        <w:t>“</w:t>
      </w:r>
      <w:r w:rsidRPr="006A3596">
        <w:rPr>
          <w:rStyle w:val="smcs"/>
          <w:rFonts w:ascii="Times New Roman" w:eastAsia="Songti TC" w:hAnsi="Times New Roman"/>
          <w:bCs/>
          <w:sz w:val="24"/>
          <w:szCs w:val="24"/>
          <w:bdr w:val="none" w:sz="0" w:space="0" w:color="auto" w:frame="1"/>
          <w:shd w:val="clear" w:color="auto" w:fill="FFFFFF"/>
        </w:rPr>
        <w:t>礼</w:t>
      </w:r>
      <w:r w:rsidRPr="006A3596">
        <w:rPr>
          <w:rStyle w:val="smcs"/>
          <w:rFonts w:ascii="Times New Roman" w:eastAsia="Songti TC" w:hAnsi="Times New Roman"/>
          <w:bCs/>
          <w:sz w:val="24"/>
          <w:szCs w:val="24"/>
          <w:bdr w:val="none" w:sz="0" w:space="0" w:color="auto" w:frame="1"/>
          <w:shd w:val="clear" w:color="auto" w:fill="FFFFFF"/>
        </w:rPr>
        <w:t>”</w:t>
      </w:r>
      <w:r w:rsidRPr="006A3596">
        <w:rPr>
          <w:rStyle w:val="smcs"/>
          <w:rFonts w:ascii="Times New Roman" w:eastAsia="Songti TC" w:hAnsi="Times New Roman"/>
          <w:bCs/>
          <w:sz w:val="24"/>
          <w:szCs w:val="24"/>
          <w:bdr w:val="none" w:sz="0" w:space="0" w:color="auto" w:frame="1"/>
          <w:shd w:val="clear" w:color="auto" w:fill="FFFFFF"/>
        </w:rPr>
        <w:t>的内容已经愈发明确：</w:t>
      </w:r>
      <w:r w:rsidRPr="006A3596">
        <w:rPr>
          <w:rStyle w:val="smcs"/>
          <w:rFonts w:ascii="Times New Roman" w:eastAsia="Songti TC" w:hAnsi="Times New Roman"/>
          <w:bCs/>
          <w:sz w:val="24"/>
          <w:szCs w:val="24"/>
          <w:bdr w:val="none" w:sz="0" w:space="0" w:color="auto" w:frame="1"/>
          <w:shd w:val="clear" w:color="auto" w:fill="FFFFFF"/>
        </w:rPr>
        <w:t>“</w:t>
      </w:r>
      <w:r w:rsidRPr="006A3596">
        <w:rPr>
          <w:rStyle w:val="smcs"/>
          <w:rFonts w:ascii="Times New Roman" w:eastAsia="Songti TC" w:hAnsi="Times New Roman"/>
          <w:bCs/>
          <w:sz w:val="24"/>
          <w:szCs w:val="24"/>
          <w:bdr w:val="none" w:sz="0" w:space="0" w:color="auto" w:frame="1"/>
          <w:shd w:val="clear" w:color="auto" w:fill="FFFFFF"/>
        </w:rPr>
        <w:t>及受礼，</w:t>
      </w:r>
      <w:r w:rsidRPr="006A3596">
        <w:rPr>
          <w:rFonts w:ascii="Times New Roman" w:eastAsia="Songti TC" w:hAnsi="Times New Roman"/>
          <w:sz w:val="24"/>
          <w:szCs w:val="24"/>
          <w:shd w:val="clear" w:color="auto" w:fill="FFFFFF"/>
        </w:rPr>
        <w:t>唯酒一</w:t>
      </w:r>
      <w:r w:rsidRPr="006A3596">
        <w:rPr>
          <w:rFonts w:ascii="Times New Roman" w:eastAsia="Songti TC" w:hAnsi="Times New Roman"/>
          <w:sz w:val="24"/>
          <w:szCs w:val="24"/>
          <w:shd w:val="clear" w:color="auto" w:fill="FFFFFF"/>
        </w:rPr>
        <w:lastRenderedPageBreak/>
        <w:t>斗、鹿肉一柈（盘）</w:t>
      </w:r>
      <w:r w:rsidRPr="006A3596">
        <w:rPr>
          <w:rStyle w:val="smcs"/>
          <w:rFonts w:ascii="Times New Roman" w:eastAsia="Songti TC" w:hAnsi="Times New Roman"/>
          <w:bCs/>
          <w:sz w:val="24"/>
          <w:szCs w:val="24"/>
          <w:bdr w:val="none" w:sz="0" w:space="0" w:color="auto" w:frame="1"/>
          <w:shd w:val="clear" w:color="auto" w:fill="FFFFFF"/>
        </w:rPr>
        <w:t>”</w:t>
      </w:r>
      <w:r w:rsidRPr="006A3596">
        <w:rPr>
          <w:rStyle w:val="smcs"/>
          <w:rFonts w:ascii="Times New Roman" w:eastAsia="Songti TC" w:hAnsi="Times New Roman"/>
          <w:bCs/>
          <w:sz w:val="24"/>
          <w:szCs w:val="24"/>
          <w:bdr w:val="none" w:sz="0" w:space="0" w:color="auto" w:frame="1"/>
          <w:shd w:val="clear" w:color="auto" w:fill="FFFFFF"/>
        </w:rPr>
        <w:t>（《晋书</w:t>
      </w:r>
      <w:r w:rsidRPr="006A3596">
        <w:rPr>
          <w:rFonts w:ascii="Times New Roman" w:eastAsia="Songti TC" w:hAnsi="Times New Roman"/>
          <w:sz w:val="24"/>
          <w:szCs w:val="24"/>
        </w:rPr>
        <w:t>•</w:t>
      </w:r>
      <w:r w:rsidRPr="006A3596">
        <w:rPr>
          <w:rStyle w:val="smcs"/>
          <w:rFonts w:ascii="Times New Roman" w:eastAsia="Songti TC" w:hAnsi="Times New Roman"/>
          <w:bCs/>
          <w:sz w:val="24"/>
          <w:szCs w:val="24"/>
          <w:bdr w:val="none" w:sz="0" w:space="0" w:color="auto" w:frame="1"/>
          <w:shd w:val="clear" w:color="auto" w:fill="FFFFFF"/>
        </w:rPr>
        <w:t>陆纳传》）。</w:t>
      </w:r>
      <w:r w:rsidRPr="006A3596">
        <w:rPr>
          <w:rFonts w:ascii="Times New Roman" w:eastAsia="Songti TC" w:hAnsi="Times New Roman"/>
          <w:sz w:val="24"/>
          <w:szCs w:val="24"/>
        </w:rPr>
        <w:t>以</w:t>
      </w:r>
      <w:r w:rsidRPr="006A3596">
        <w:rPr>
          <w:rFonts w:ascii="Times New Roman" w:eastAsia="Songti TC" w:hAnsi="Times New Roman"/>
          <w:sz w:val="24"/>
          <w:szCs w:val="24"/>
        </w:rPr>
        <w:t>“</w:t>
      </w:r>
      <w:r w:rsidRPr="006A3596">
        <w:rPr>
          <w:rFonts w:ascii="Times New Roman" w:eastAsia="Songti TC" w:hAnsi="Times New Roman"/>
          <w:sz w:val="24"/>
          <w:szCs w:val="24"/>
        </w:rPr>
        <w:t>礼</w:t>
      </w:r>
      <w:r w:rsidRPr="006A3596">
        <w:rPr>
          <w:rFonts w:ascii="Times New Roman" w:eastAsia="Songti TC" w:hAnsi="Times New Roman"/>
          <w:sz w:val="24"/>
          <w:szCs w:val="24"/>
        </w:rPr>
        <w:t>”</w:t>
      </w:r>
      <w:r w:rsidRPr="006A3596">
        <w:rPr>
          <w:rFonts w:ascii="Times New Roman" w:eastAsia="Songti TC" w:hAnsi="Times New Roman"/>
          <w:sz w:val="24"/>
          <w:szCs w:val="24"/>
        </w:rPr>
        <w:t>及</w:t>
      </w:r>
      <w:r w:rsidRPr="006A3596">
        <w:rPr>
          <w:rFonts w:ascii="Times New Roman" w:eastAsia="Songti TC" w:hAnsi="Times New Roman"/>
          <w:sz w:val="24"/>
          <w:szCs w:val="24"/>
        </w:rPr>
        <w:t>“</w:t>
      </w:r>
      <w:r w:rsidRPr="006A3596">
        <w:rPr>
          <w:rFonts w:ascii="Times New Roman" w:eastAsia="Songti TC" w:hAnsi="Times New Roman"/>
          <w:sz w:val="24"/>
          <w:szCs w:val="24"/>
        </w:rPr>
        <w:t>物</w:t>
      </w:r>
      <w:r w:rsidRPr="006A3596">
        <w:rPr>
          <w:rFonts w:ascii="Times New Roman" w:eastAsia="Songti TC" w:hAnsi="Times New Roman"/>
          <w:sz w:val="24"/>
          <w:szCs w:val="24"/>
        </w:rPr>
        <w:t>”</w:t>
      </w:r>
      <w:r w:rsidRPr="006A3596">
        <w:rPr>
          <w:rFonts w:ascii="Times New Roman" w:eastAsia="Songti TC" w:hAnsi="Times New Roman"/>
          <w:sz w:val="24"/>
          <w:szCs w:val="24"/>
        </w:rPr>
        <w:t>、因</w:t>
      </w:r>
      <w:r w:rsidRPr="006A3596">
        <w:rPr>
          <w:rFonts w:ascii="Times New Roman" w:eastAsia="Songti TC" w:hAnsi="Times New Roman"/>
          <w:sz w:val="24"/>
          <w:szCs w:val="24"/>
        </w:rPr>
        <w:t>“</w:t>
      </w:r>
      <w:r w:rsidRPr="006A3596">
        <w:rPr>
          <w:rFonts w:ascii="Times New Roman" w:eastAsia="Songti TC" w:hAnsi="Times New Roman"/>
          <w:sz w:val="24"/>
          <w:szCs w:val="24"/>
        </w:rPr>
        <w:t>物</w:t>
      </w:r>
      <w:r w:rsidRPr="006A3596">
        <w:rPr>
          <w:rFonts w:ascii="Times New Roman" w:eastAsia="Songti TC" w:hAnsi="Times New Roman"/>
          <w:sz w:val="24"/>
          <w:szCs w:val="24"/>
        </w:rPr>
        <w:t>”</w:t>
      </w:r>
      <w:r w:rsidRPr="006A3596">
        <w:rPr>
          <w:rFonts w:ascii="Times New Roman" w:eastAsia="Songti TC" w:hAnsi="Times New Roman"/>
          <w:sz w:val="24"/>
          <w:szCs w:val="24"/>
        </w:rPr>
        <w:t>见</w:t>
      </w:r>
      <w:r w:rsidRPr="006A3596">
        <w:rPr>
          <w:rFonts w:ascii="Times New Roman" w:eastAsia="Songti TC" w:hAnsi="Times New Roman"/>
          <w:sz w:val="24"/>
          <w:szCs w:val="24"/>
        </w:rPr>
        <w:t>“</w:t>
      </w:r>
      <w:r w:rsidRPr="006A3596">
        <w:rPr>
          <w:rFonts w:ascii="Times New Roman" w:eastAsia="Songti TC" w:hAnsi="Times New Roman"/>
          <w:sz w:val="24"/>
          <w:szCs w:val="24"/>
        </w:rPr>
        <w:t>礼</w:t>
      </w:r>
      <w:r w:rsidRPr="006A3596">
        <w:rPr>
          <w:rFonts w:ascii="Times New Roman" w:eastAsia="Songti TC" w:hAnsi="Times New Roman"/>
          <w:sz w:val="24"/>
          <w:szCs w:val="24"/>
        </w:rPr>
        <w:t>”</w:t>
      </w:r>
      <w:r w:rsidRPr="006A3596">
        <w:rPr>
          <w:rFonts w:ascii="Times New Roman" w:eastAsia="Songti TC" w:hAnsi="Times New Roman"/>
          <w:sz w:val="24"/>
          <w:szCs w:val="24"/>
        </w:rPr>
        <w:t>的古代传统，于是而有关涉</w:t>
      </w:r>
      <w:r w:rsidRPr="006A3596">
        <w:rPr>
          <w:rFonts w:ascii="Times New Roman" w:eastAsia="Songti TC" w:hAnsi="Times New Roman"/>
          <w:sz w:val="24"/>
          <w:szCs w:val="24"/>
        </w:rPr>
        <w:t>“</w:t>
      </w:r>
      <w:r w:rsidRPr="006A3596">
        <w:rPr>
          <w:rFonts w:ascii="Times New Roman" w:eastAsia="Songti TC" w:hAnsi="Times New Roman"/>
          <w:sz w:val="24"/>
          <w:szCs w:val="24"/>
        </w:rPr>
        <w:t>馈赠</w:t>
      </w:r>
      <w:r w:rsidRPr="006A3596">
        <w:rPr>
          <w:rFonts w:ascii="Times New Roman" w:eastAsia="Songti TC" w:hAnsi="Times New Roman"/>
          <w:sz w:val="24"/>
          <w:szCs w:val="24"/>
        </w:rPr>
        <w:t>”</w:t>
      </w:r>
      <w:r w:rsidRPr="006A3596">
        <w:rPr>
          <w:rFonts w:ascii="Times New Roman" w:eastAsia="Songti TC" w:hAnsi="Times New Roman"/>
          <w:sz w:val="24"/>
          <w:szCs w:val="24"/>
        </w:rPr>
        <w:t>的种种表达。</w:t>
      </w:r>
    </w:p>
    <w:p w14:paraId="3D1796CF" w14:textId="77777777" w:rsidR="00A06B54" w:rsidRPr="006A3596" w:rsidRDefault="00A06B54" w:rsidP="006A3596">
      <w:pPr>
        <w:spacing w:before="120" w:after="120"/>
        <w:ind w:firstLine="488"/>
        <w:rPr>
          <w:rFonts w:ascii="Times New Roman" w:eastAsia="Songti TC" w:hAnsi="Times New Roman"/>
          <w:sz w:val="24"/>
          <w:szCs w:val="24"/>
        </w:rPr>
      </w:pPr>
      <w:r w:rsidRPr="006A3596">
        <w:rPr>
          <w:rFonts w:ascii="Times New Roman" w:eastAsia="Songti TC" w:hAnsi="Times New Roman"/>
          <w:sz w:val="24"/>
          <w:szCs w:val="24"/>
        </w:rPr>
        <w:t>至于现代汉语当中的中西对译，日常意义的</w:t>
      </w:r>
      <w:r w:rsidRPr="006A3596">
        <w:rPr>
          <w:rFonts w:ascii="Times New Roman" w:eastAsia="Songti TC" w:hAnsi="Times New Roman"/>
          <w:sz w:val="24"/>
          <w:szCs w:val="24"/>
        </w:rPr>
        <w:t>“</w:t>
      </w:r>
      <w:r w:rsidRPr="006A3596">
        <w:rPr>
          <w:rFonts w:ascii="Times New Roman" w:eastAsia="Songti TC" w:hAnsi="Times New Roman"/>
          <w:sz w:val="24"/>
          <w:szCs w:val="24"/>
        </w:rPr>
        <w:t>礼物</w:t>
      </w:r>
      <w:r w:rsidRPr="006A3596">
        <w:rPr>
          <w:rFonts w:ascii="Times New Roman" w:eastAsia="Songti TC" w:hAnsi="Times New Roman"/>
          <w:sz w:val="24"/>
          <w:szCs w:val="24"/>
        </w:rPr>
        <w:t>”</w:t>
      </w:r>
      <w:r w:rsidRPr="006A3596">
        <w:rPr>
          <w:rFonts w:ascii="Times New Roman" w:eastAsia="Songti TC" w:hAnsi="Times New Roman"/>
          <w:sz w:val="24"/>
          <w:szCs w:val="24"/>
        </w:rPr>
        <w:t>未必要从外在之</w:t>
      </w:r>
      <w:r w:rsidRPr="006A3596">
        <w:rPr>
          <w:rFonts w:ascii="Times New Roman" w:eastAsia="Songti TC" w:hAnsi="Times New Roman"/>
          <w:sz w:val="24"/>
          <w:szCs w:val="24"/>
        </w:rPr>
        <w:t>“</w:t>
      </w:r>
      <w:r w:rsidRPr="006A3596">
        <w:rPr>
          <w:rFonts w:ascii="Times New Roman" w:eastAsia="Songti TC" w:hAnsi="Times New Roman"/>
          <w:sz w:val="24"/>
          <w:szCs w:val="24"/>
        </w:rPr>
        <w:t>物</w:t>
      </w:r>
      <w:r w:rsidRPr="006A3596">
        <w:rPr>
          <w:rFonts w:ascii="Times New Roman" w:eastAsia="Songti TC" w:hAnsi="Times New Roman"/>
          <w:sz w:val="24"/>
          <w:szCs w:val="24"/>
        </w:rPr>
        <w:t>”</w:t>
      </w:r>
      <w:r w:rsidRPr="006A3596">
        <w:rPr>
          <w:rFonts w:ascii="Times New Roman" w:eastAsia="Songti TC" w:hAnsi="Times New Roman"/>
          <w:sz w:val="24"/>
          <w:szCs w:val="24"/>
        </w:rPr>
        <w:t>反推古代的内在之</w:t>
      </w:r>
      <w:r w:rsidRPr="006A3596">
        <w:rPr>
          <w:rFonts w:ascii="Times New Roman" w:eastAsia="Songti TC" w:hAnsi="Times New Roman"/>
          <w:sz w:val="24"/>
          <w:szCs w:val="24"/>
        </w:rPr>
        <w:t>“</w:t>
      </w:r>
      <w:r w:rsidRPr="006A3596">
        <w:rPr>
          <w:rFonts w:ascii="Times New Roman" w:eastAsia="Songti TC" w:hAnsi="Times New Roman"/>
          <w:sz w:val="24"/>
          <w:szCs w:val="24"/>
        </w:rPr>
        <w:t>礼</w:t>
      </w:r>
      <w:r w:rsidRPr="006A3596">
        <w:rPr>
          <w:rFonts w:ascii="Times New Roman" w:eastAsia="Songti TC" w:hAnsi="Times New Roman"/>
          <w:sz w:val="24"/>
          <w:szCs w:val="24"/>
        </w:rPr>
        <w:t>”</w:t>
      </w:r>
      <w:r w:rsidRPr="006A3596">
        <w:rPr>
          <w:rFonts w:ascii="Times New Roman" w:eastAsia="Songti TC" w:hAnsi="Times New Roman"/>
          <w:sz w:val="24"/>
          <w:szCs w:val="24"/>
        </w:rPr>
        <w:t>，因此</w:t>
      </w:r>
      <w:r w:rsidRPr="006A3596">
        <w:rPr>
          <w:rFonts w:ascii="Times New Roman" w:eastAsia="Songti TC" w:hAnsi="Times New Roman"/>
          <w:sz w:val="24"/>
          <w:szCs w:val="24"/>
        </w:rPr>
        <w:t>gift</w:t>
      </w:r>
      <w:r w:rsidRPr="006A3596">
        <w:rPr>
          <w:rFonts w:ascii="Times New Roman" w:eastAsia="Songti TC" w:hAnsi="Times New Roman"/>
          <w:sz w:val="24"/>
          <w:szCs w:val="24"/>
        </w:rPr>
        <w:t>或者</w:t>
      </w:r>
      <w:r w:rsidRPr="006A3596">
        <w:rPr>
          <w:rFonts w:ascii="Times New Roman" w:eastAsia="Songti TC" w:hAnsi="Times New Roman"/>
          <w:sz w:val="24"/>
          <w:szCs w:val="24"/>
        </w:rPr>
        <w:t>present</w:t>
      </w:r>
      <w:r w:rsidRPr="006A3596">
        <w:rPr>
          <w:rFonts w:ascii="Times New Roman" w:eastAsia="Songti TC" w:hAnsi="Times New Roman"/>
          <w:sz w:val="24"/>
          <w:szCs w:val="24"/>
        </w:rPr>
        <w:t>的翻译本属自然而然。但是随着欧陆思想的不断引介，我们会发现原本大致相应的语义日益凸显出差异，乃至</w:t>
      </w:r>
      <w:r w:rsidRPr="006A3596">
        <w:rPr>
          <w:rFonts w:ascii="Times New Roman" w:eastAsia="Songti TC" w:hAnsi="Times New Roman"/>
          <w:sz w:val="24"/>
          <w:szCs w:val="24"/>
        </w:rPr>
        <w:t>gift</w:t>
      </w:r>
      <w:r w:rsidRPr="006A3596">
        <w:rPr>
          <w:rFonts w:ascii="Times New Roman" w:eastAsia="Songti TC" w:hAnsi="Times New Roman"/>
          <w:sz w:val="24"/>
          <w:szCs w:val="24"/>
        </w:rPr>
        <w:t>、</w:t>
      </w:r>
      <w:r w:rsidRPr="006A3596">
        <w:rPr>
          <w:rFonts w:ascii="Times New Roman" w:eastAsia="Songti TC" w:hAnsi="Times New Roman"/>
          <w:sz w:val="24"/>
          <w:szCs w:val="24"/>
        </w:rPr>
        <w:t>present</w:t>
      </w:r>
      <w:r w:rsidRPr="006A3596">
        <w:rPr>
          <w:rFonts w:ascii="Times New Roman" w:eastAsia="Songti TC" w:hAnsi="Times New Roman"/>
          <w:sz w:val="24"/>
          <w:szCs w:val="24"/>
        </w:rPr>
        <w:t>以及与之相关的</w:t>
      </w:r>
      <w:r w:rsidRPr="006A3596">
        <w:rPr>
          <w:rFonts w:ascii="Times New Roman" w:eastAsia="Songti TC" w:hAnsi="Times New Roman"/>
          <w:sz w:val="24"/>
          <w:szCs w:val="24"/>
        </w:rPr>
        <w:t>given</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Fonts w:ascii="Times New Roman" w:eastAsia="Songti TC" w:hAnsi="Times New Roman"/>
          <w:sz w:val="24"/>
          <w:szCs w:val="24"/>
        </w:rPr>
        <w:t>字面</w:t>
      </w:r>
      <w:r w:rsidRPr="006A3596">
        <w:rPr>
          <w:rFonts w:ascii="Times New Roman" w:eastAsia="Songti TC" w:hAnsi="Times New Roman"/>
          <w:sz w:val="24"/>
          <w:szCs w:val="24"/>
        </w:rPr>
        <w:t>”</w:t>
      </w:r>
      <w:r w:rsidRPr="006A3596">
        <w:rPr>
          <w:rFonts w:ascii="Times New Roman" w:eastAsia="Songti TC" w:hAnsi="Times New Roman"/>
          <w:sz w:val="24"/>
          <w:szCs w:val="24"/>
        </w:rPr>
        <w:t>的翻译已很难传达其</w:t>
      </w:r>
      <w:r w:rsidRPr="006A3596">
        <w:rPr>
          <w:rFonts w:ascii="Times New Roman" w:eastAsia="Songti TC" w:hAnsi="Times New Roman"/>
          <w:sz w:val="24"/>
          <w:szCs w:val="24"/>
        </w:rPr>
        <w:t>“</w:t>
      </w:r>
      <w:r w:rsidRPr="006A3596">
        <w:rPr>
          <w:rFonts w:ascii="Times New Roman" w:eastAsia="Songti TC" w:hAnsi="Times New Roman"/>
          <w:sz w:val="24"/>
          <w:szCs w:val="24"/>
        </w:rPr>
        <w:t>精义</w:t>
      </w:r>
      <w:r w:rsidRPr="006A3596">
        <w:rPr>
          <w:rFonts w:ascii="Times New Roman" w:eastAsia="Songti TC" w:hAnsi="Times New Roman"/>
          <w:sz w:val="24"/>
          <w:szCs w:val="24"/>
        </w:rPr>
        <w:t>”</w:t>
      </w:r>
      <w:r w:rsidRPr="006A3596">
        <w:rPr>
          <w:rFonts w:ascii="Times New Roman" w:eastAsia="Songti TC" w:hAnsi="Times New Roman"/>
          <w:sz w:val="24"/>
          <w:szCs w:val="24"/>
        </w:rPr>
        <w:t>。如果说这就是语言留给我们的哲学问题，那么</w:t>
      </w:r>
      <w:r w:rsidRPr="006A3596">
        <w:rPr>
          <w:rFonts w:ascii="Times New Roman" w:eastAsia="Songti TC" w:hAnsi="Times New Roman"/>
          <w:sz w:val="24"/>
          <w:szCs w:val="24"/>
        </w:rPr>
        <w:t>Being is given</w:t>
      </w:r>
      <w:r w:rsidRPr="006A3596">
        <w:rPr>
          <w:rFonts w:ascii="Times New Roman" w:eastAsia="Songti TC" w:hAnsi="Times New Roman"/>
          <w:sz w:val="24"/>
          <w:szCs w:val="24"/>
        </w:rPr>
        <w:t>的中西之辩、</w:t>
      </w:r>
      <w:r w:rsidRPr="006A3596">
        <w:rPr>
          <w:rFonts w:ascii="Times New Roman" w:eastAsia="Songti TC" w:hAnsi="Times New Roman"/>
          <w:sz w:val="24"/>
          <w:szCs w:val="24"/>
        </w:rPr>
        <w:t>“</w:t>
      </w:r>
      <w:r w:rsidRPr="006A3596">
        <w:rPr>
          <w:rFonts w:ascii="Times New Roman" w:eastAsia="Songti TC" w:hAnsi="Times New Roman"/>
          <w:sz w:val="24"/>
          <w:szCs w:val="24"/>
        </w:rPr>
        <w:t>馈赠</w:t>
      </w:r>
      <w:r w:rsidRPr="006A3596">
        <w:rPr>
          <w:rFonts w:ascii="Times New Roman" w:eastAsia="Songti TC" w:hAnsi="Times New Roman"/>
          <w:sz w:val="24"/>
          <w:szCs w:val="24"/>
        </w:rPr>
        <w:t>”</w:t>
      </w:r>
      <w:r w:rsidRPr="006A3596">
        <w:rPr>
          <w:rFonts w:ascii="Times New Roman" w:eastAsia="Songti TC" w:hAnsi="Times New Roman"/>
          <w:sz w:val="24"/>
          <w:szCs w:val="24"/>
        </w:rPr>
        <w:t>成为一种哲学的逻辑转换、</w:t>
      </w:r>
      <w:r w:rsidRPr="006A3596">
        <w:rPr>
          <w:rFonts w:ascii="Times New Roman" w:eastAsia="Songti TC" w:hAnsi="Times New Roman"/>
          <w:sz w:val="24"/>
          <w:szCs w:val="24"/>
        </w:rPr>
        <w:t>present</w:t>
      </w:r>
      <w:r w:rsidRPr="006A3596">
        <w:rPr>
          <w:rFonts w:ascii="Times New Roman" w:eastAsia="Songti TC" w:hAnsi="Times New Roman"/>
          <w:sz w:val="24"/>
          <w:szCs w:val="24"/>
        </w:rPr>
        <w:t>兼及</w:t>
      </w:r>
      <w:r w:rsidRPr="006A3596">
        <w:rPr>
          <w:rFonts w:ascii="Times New Roman" w:eastAsia="Songti TC" w:hAnsi="Times New Roman"/>
          <w:sz w:val="24"/>
          <w:szCs w:val="24"/>
        </w:rPr>
        <w:t>“</w:t>
      </w:r>
      <w:r w:rsidRPr="006A3596">
        <w:rPr>
          <w:rFonts w:ascii="Times New Roman" w:eastAsia="Songti TC" w:hAnsi="Times New Roman"/>
          <w:sz w:val="24"/>
          <w:szCs w:val="24"/>
        </w:rPr>
        <w:t>时间</w:t>
      </w:r>
      <w:r w:rsidRPr="006A3596">
        <w:rPr>
          <w:rFonts w:ascii="Times New Roman" w:eastAsia="Songti TC" w:hAnsi="Times New Roman"/>
          <w:sz w:val="24"/>
          <w:szCs w:val="24"/>
        </w:rPr>
        <w:t>”</w:t>
      </w:r>
      <w:r w:rsidRPr="006A3596">
        <w:rPr>
          <w:rFonts w:ascii="Times New Roman" w:eastAsia="Songti TC" w:hAnsi="Times New Roman"/>
          <w:sz w:val="24"/>
          <w:szCs w:val="24"/>
        </w:rPr>
        <w:t>的语义双关，应该是最为典型的例子。</w:t>
      </w:r>
    </w:p>
    <w:p w14:paraId="4D015219" w14:textId="77777777" w:rsidR="00A06B54" w:rsidRPr="006A3596" w:rsidRDefault="00A06B54" w:rsidP="006A3596">
      <w:pPr>
        <w:tabs>
          <w:tab w:val="center" w:pos="4393"/>
        </w:tabs>
        <w:spacing w:before="120" w:after="120"/>
        <w:ind w:firstLine="488"/>
        <w:rPr>
          <w:rFonts w:ascii="Times New Roman" w:eastAsia="Songti TC" w:hAnsi="Times New Roman"/>
          <w:sz w:val="24"/>
          <w:szCs w:val="24"/>
        </w:rPr>
      </w:pPr>
      <w:r w:rsidRPr="006A3596">
        <w:rPr>
          <w:rFonts w:ascii="Times New Roman" w:eastAsia="Songti TC" w:hAnsi="Times New Roman"/>
          <w:sz w:val="24"/>
          <w:szCs w:val="24"/>
        </w:rPr>
        <w:t>参阅《劳特里奇哲学史》第二卷《从亚里士多德到奥古斯丁》，中英文的对比极为有趣。比如：</w:t>
      </w:r>
      <w:r w:rsidRPr="006A3596">
        <w:rPr>
          <w:rFonts w:ascii="Times New Roman" w:eastAsia="Songti TC" w:hAnsi="Times New Roman"/>
          <w:sz w:val="24"/>
          <w:szCs w:val="24"/>
        </w:rPr>
        <w:t>Plotinus accepts Aristotle’s view that being and unity are coextensive: to be is to be one thing, to be unified, and the more “one” something is the more of a being it is.</w:t>
      </w:r>
      <w:r w:rsidRPr="006A3596">
        <w:rPr>
          <w:rStyle w:val="Funotenzeichen"/>
          <w:rFonts w:ascii="Times New Roman" w:eastAsia="Songti TC" w:hAnsi="Times New Roman"/>
          <w:sz w:val="24"/>
          <w:szCs w:val="24"/>
        </w:rPr>
        <w:footnoteReference w:id="1"/>
      </w:r>
      <w:r w:rsidRPr="006A3596">
        <w:rPr>
          <w:rFonts w:ascii="Times New Roman" w:eastAsia="Songti TC" w:hAnsi="Times New Roman"/>
          <w:sz w:val="24"/>
          <w:szCs w:val="24"/>
        </w:rPr>
        <w:t xml:space="preserve"> </w:t>
      </w:r>
      <w:r w:rsidRPr="006A3596">
        <w:rPr>
          <w:rFonts w:ascii="Times New Roman" w:eastAsia="Songti TC" w:hAnsi="Times New Roman"/>
          <w:sz w:val="24"/>
          <w:szCs w:val="24"/>
        </w:rPr>
        <w:t>中译本特别用</w:t>
      </w:r>
      <w:r w:rsidRPr="006A3596">
        <w:rPr>
          <w:rFonts w:ascii="Times New Roman" w:eastAsia="Songti TC" w:hAnsi="Times New Roman"/>
          <w:sz w:val="24"/>
          <w:szCs w:val="24"/>
        </w:rPr>
        <w:t>“</w:t>
      </w:r>
      <w:r w:rsidRPr="006A3596">
        <w:rPr>
          <w:rFonts w:ascii="Times New Roman" w:eastAsia="Songti TC" w:hAnsi="Times New Roman"/>
          <w:sz w:val="24"/>
          <w:szCs w:val="24"/>
        </w:rPr>
        <w:t>加括号</w:t>
      </w:r>
      <w:r w:rsidRPr="006A3596">
        <w:rPr>
          <w:rFonts w:ascii="Times New Roman" w:eastAsia="Songti TC" w:hAnsi="Times New Roman"/>
          <w:sz w:val="24"/>
          <w:szCs w:val="24"/>
        </w:rPr>
        <w:t>”</w:t>
      </w:r>
      <w:r w:rsidRPr="006A3596">
        <w:rPr>
          <w:rFonts w:ascii="Times New Roman" w:eastAsia="Songti TC" w:hAnsi="Times New Roman"/>
          <w:sz w:val="24"/>
          <w:szCs w:val="24"/>
        </w:rPr>
        <w:t>的方式将</w:t>
      </w:r>
      <w:r w:rsidRPr="006A3596">
        <w:rPr>
          <w:rFonts w:ascii="Times New Roman" w:eastAsia="Songti TC" w:hAnsi="Times New Roman"/>
          <w:sz w:val="24"/>
          <w:szCs w:val="24"/>
        </w:rPr>
        <w:t>being</w:t>
      </w:r>
      <w:r w:rsidRPr="006A3596">
        <w:rPr>
          <w:rFonts w:ascii="Times New Roman" w:eastAsia="Songti TC" w:hAnsi="Times New Roman"/>
          <w:sz w:val="24"/>
          <w:szCs w:val="24"/>
        </w:rPr>
        <w:t>标注为</w:t>
      </w:r>
      <w:r w:rsidRPr="006A3596">
        <w:rPr>
          <w:rFonts w:ascii="Times New Roman" w:eastAsia="Songti TC" w:hAnsi="Times New Roman"/>
          <w:sz w:val="24"/>
          <w:szCs w:val="24"/>
        </w:rPr>
        <w:t>“</w:t>
      </w:r>
      <w:r w:rsidRPr="006A3596">
        <w:rPr>
          <w:rFonts w:ascii="Times New Roman" w:eastAsia="Songti TC" w:hAnsi="Times New Roman"/>
          <w:sz w:val="24"/>
          <w:szCs w:val="24"/>
        </w:rPr>
        <w:t>是者</w:t>
      </w:r>
      <w:r w:rsidRPr="006A3596">
        <w:rPr>
          <w:rFonts w:ascii="Times New Roman" w:eastAsia="Songti TC" w:hAnsi="Times New Roman"/>
          <w:sz w:val="24"/>
          <w:szCs w:val="24"/>
        </w:rPr>
        <w:t>”</w:t>
      </w:r>
      <w:r w:rsidRPr="006A3596">
        <w:rPr>
          <w:rFonts w:ascii="Times New Roman" w:eastAsia="Songti TC" w:hAnsi="Times New Roman"/>
          <w:sz w:val="24"/>
          <w:szCs w:val="24"/>
        </w:rPr>
        <w:t>，然而</w:t>
      </w:r>
      <w:r w:rsidRPr="006A3596">
        <w:rPr>
          <w:rFonts w:ascii="Times New Roman" w:eastAsia="Songti TC" w:hAnsi="Times New Roman"/>
          <w:sz w:val="24"/>
          <w:szCs w:val="24"/>
        </w:rPr>
        <w:t>“</w:t>
      </w:r>
      <w:r w:rsidRPr="006A3596">
        <w:rPr>
          <w:rFonts w:ascii="Times New Roman" w:eastAsia="Songti TC" w:hAnsi="Times New Roman"/>
          <w:sz w:val="24"/>
          <w:szCs w:val="24"/>
        </w:rPr>
        <w:t>某物越是</w:t>
      </w:r>
      <w:r w:rsidRPr="006A3596">
        <w:rPr>
          <w:rFonts w:ascii="Times New Roman" w:eastAsia="Songti TC" w:hAnsi="Times New Roman"/>
          <w:sz w:val="24"/>
          <w:szCs w:val="24"/>
        </w:rPr>
        <w:t>‘</w:t>
      </w:r>
      <w:r w:rsidRPr="006A3596">
        <w:rPr>
          <w:rFonts w:ascii="Times New Roman" w:eastAsia="Songti TC" w:hAnsi="Times New Roman"/>
          <w:sz w:val="24"/>
          <w:szCs w:val="24"/>
        </w:rPr>
        <w:t>一</w:t>
      </w:r>
      <w:r w:rsidRPr="006A3596">
        <w:rPr>
          <w:rFonts w:ascii="Times New Roman" w:eastAsia="Songti TC" w:hAnsi="Times New Roman"/>
          <w:sz w:val="24"/>
          <w:szCs w:val="24"/>
        </w:rPr>
        <w:t>’</w:t>
      </w:r>
      <w:r w:rsidRPr="006A3596">
        <w:rPr>
          <w:rFonts w:ascii="Times New Roman" w:eastAsia="Songti TC" w:hAnsi="Times New Roman"/>
          <w:sz w:val="24"/>
          <w:szCs w:val="24"/>
        </w:rPr>
        <w:t>，它就越是</w:t>
      </w:r>
      <w:r w:rsidRPr="006A3596">
        <w:rPr>
          <w:rFonts w:ascii="Times New Roman" w:eastAsia="Songti TC" w:hAnsi="Times New Roman"/>
          <w:sz w:val="24"/>
          <w:szCs w:val="24"/>
        </w:rPr>
        <w:t>‘</w:t>
      </w:r>
      <w:r w:rsidRPr="006A3596">
        <w:rPr>
          <w:rFonts w:ascii="Times New Roman" w:eastAsia="Songti TC" w:hAnsi="Times New Roman"/>
          <w:sz w:val="24"/>
          <w:szCs w:val="24"/>
        </w:rPr>
        <w:t>是</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Fonts w:ascii="Times New Roman" w:eastAsia="Songti TC" w:hAnsi="Times New Roman"/>
          <w:sz w:val="24"/>
          <w:szCs w:val="24"/>
        </w:rPr>
        <w:t>the more “one” something is the more of a being it is</w:t>
      </w:r>
      <w:r w:rsidRPr="006A3596">
        <w:rPr>
          <w:rFonts w:ascii="Times New Roman" w:eastAsia="Songti TC" w:hAnsi="Times New Roman"/>
          <w:sz w:val="24"/>
          <w:szCs w:val="24"/>
        </w:rPr>
        <w:t>）</w:t>
      </w:r>
      <w:r w:rsidRPr="006A3596">
        <w:rPr>
          <w:rStyle w:val="Funotenzeichen"/>
          <w:rFonts w:ascii="Times New Roman" w:eastAsia="Songti TC" w:hAnsi="Times New Roman"/>
          <w:sz w:val="24"/>
          <w:szCs w:val="24"/>
        </w:rPr>
        <w:footnoteReference w:id="2"/>
      </w:r>
      <w:r w:rsidRPr="006A3596">
        <w:rPr>
          <w:rFonts w:ascii="Times New Roman" w:eastAsia="Songti TC" w:hAnsi="Times New Roman"/>
          <w:sz w:val="24"/>
          <w:szCs w:val="24"/>
        </w:rPr>
        <w:t>可能仍难理解：</w:t>
      </w:r>
      <w:r w:rsidRPr="006A3596">
        <w:rPr>
          <w:rFonts w:ascii="Times New Roman" w:eastAsia="Songti TC" w:hAnsi="Times New Roman"/>
          <w:sz w:val="24"/>
          <w:szCs w:val="24"/>
        </w:rPr>
        <w:t>“</w:t>
      </w:r>
      <w:r w:rsidRPr="006A3596">
        <w:rPr>
          <w:rFonts w:ascii="Times New Roman" w:eastAsia="Songti TC" w:hAnsi="Times New Roman"/>
          <w:sz w:val="24"/>
          <w:szCs w:val="24"/>
        </w:rPr>
        <w:t>是者</w:t>
      </w:r>
      <w:r w:rsidRPr="006A3596">
        <w:rPr>
          <w:rFonts w:ascii="Times New Roman" w:eastAsia="Songti TC" w:hAnsi="Times New Roman"/>
          <w:sz w:val="24"/>
          <w:szCs w:val="24"/>
        </w:rPr>
        <w:t>”</w:t>
      </w:r>
      <w:r w:rsidRPr="006A3596">
        <w:rPr>
          <w:rFonts w:ascii="Times New Roman" w:eastAsia="Songti TC" w:hAnsi="Times New Roman"/>
          <w:sz w:val="24"/>
          <w:szCs w:val="24"/>
        </w:rPr>
        <w:t>何以为</w:t>
      </w:r>
      <w:r w:rsidRPr="006A3596">
        <w:rPr>
          <w:rFonts w:ascii="Times New Roman" w:eastAsia="Songti TC" w:hAnsi="Times New Roman"/>
          <w:sz w:val="24"/>
          <w:szCs w:val="24"/>
        </w:rPr>
        <w:t>“</w:t>
      </w:r>
      <w:r w:rsidRPr="006A3596">
        <w:rPr>
          <w:rFonts w:ascii="Times New Roman" w:eastAsia="Songti TC" w:hAnsi="Times New Roman"/>
          <w:sz w:val="24"/>
          <w:szCs w:val="24"/>
        </w:rPr>
        <w:t>是</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Fonts w:ascii="Times New Roman" w:eastAsia="Songti TC" w:hAnsi="Times New Roman"/>
          <w:sz w:val="24"/>
          <w:szCs w:val="24"/>
        </w:rPr>
        <w:t>something</w:t>
      </w:r>
      <w:r w:rsidRPr="006A3596">
        <w:rPr>
          <w:rFonts w:ascii="Times New Roman" w:eastAsia="Songti TC" w:hAnsi="Times New Roman"/>
          <w:sz w:val="24"/>
          <w:szCs w:val="24"/>
        </w:rPr>
        <w:t>何以为</w:t>
      </w:r>
      <w:r w:rsidRPr="006A3596">
        <w:rPr>
          <w:rFonts w:ascii="Times New Roman" w:eastAsia="Songti TC" w:hAnsi="Times New Roman"/>
          <w:sz w:val="24"/>
          <w:szCs w:val="24"/>
        </w:rPr>
        <w:t>one</w:t>
      </w:r>
      <w:r w:rsidRPr="006A3596">
        <w:rPr>
          <w:rFonts w:ascii="Times New Roman" w:eastAsia="Songti TC" w:hAnsi="Times New Roman"/>
          <w:sz w:val="24"/>
          <w:szCs w:val="24"/>
        </w:rPr>
        <w:t>？为什么</w:t>
      </w:r>
      <w:r w:rsidRPr="006A3596">
        <w:rPr>
          <w:rFonts w:ascii="Times New Roman" w:eastAsia="Songti TC" w:hAnsi="Times New Roman"/>
          <w:sz w:val="24"/>
          <w:szCs w:val="24"/>
        </w:rPr>
        <w:t>“</w:t>
      </w:r>
      <w:r w:rsidRPr="006A3596">
        <w:rPr>
          <w:rFonts w:ascii="Times New Roman" w:eastAsia="Songti TC" w:hAnsi="Times New Roman"/>
          <w:sz w:val="24"/>
          <w:szCs w:val="24"/>
        </w:rPr>
        <w:t>越是</w:t>
      </w:r>
      <w:r w:rsidRPr="006A3596">
        <w:rPr>
          <w:rFonts w:ascii="Times New Roman" w:eastAsia="Songti TC" w:hAnsi="Times New Roman"/>
          <w:sz w:val="24"/>
          <w:szCs w:val="24"/>
        </w:rPr>
        <w:t>one”</w:t>
      </w:r>
      <w:r w:rsidRPr="006A3596">
        <w:rPr>
          <w:rFonts w:ascii="Times New Roman" w:eastAsia="Songti TC" w:hAnsi="Times New Roman"/>
          <w:sz w:val="24"/>
          <w:szCs w:val="24"/>
        </w:rPr>
        <w:t>就</w:t>
      </w:r>
      <w:r w:rsidRPr="006A3596">
        <w:rPr>
          <w:rFonts w:ascii="Times New Roman" w:eastAsia="Songti TC" w:hAnsi="Times New Roman"/>
          <w:sz w:val="24"/>
          <w:szCs w:val="24"/>
        </w:rPr>
        <w:t>“</w:t>
      </w:r>
      <w:r w:rsidRPr="006A3596">
        <w:rPr>
          <w:rFonts w:ascii="Times New Roman" w:eastAsia="Songti TC" w:hAnsi="Times New Roman"/>
          <w:sz w:val="24"/>
          <w:szCs w:val="24"/>
        </w:rPr>
        <w:t>越是</w:t>
      </w:r>
      <w:r w:rsidRPr="006A3596">
        <w:rPr>
          <w:rFonts w:ascii="Times New Roman" w:eastAsia="Songti TC" w:hAnsi="Times New Roman"/>
          <w:sz w:val="24"/>
          <w:szCs w:val="24"/>
        </w:rPr>
        <w:t>a being it is”?</w:t>
      </w:r>
      <w:r w:rsidRPr="006A3596">
        <w:rPr>
          <w:rFonts w:ascii="Times New Roman" w:eastAsia="Songti TC" w:hAnsi="Times New Roman"/>
          <w:sz w:val="24"/>
          <w:szCs w:val="24"/>
        </w:rPr>
        <w:t>作为</w:t>
      </w:r>
      <w:r w:rsidRPr="006A3596">
        <w:rPr>
          <w:rFonts w:ascii="Times New Roman" w:eastAsia="Songti TC" w:hAnsi="Times New Roman"/>
          <w:sz w:val="24"/>
          <w:szCs w:val="24"/>
        </w:rPr>
        <w:t>“</w:t>
      </w:r>
      <w:r w:rsidRPr="006A3596">
        <w:rPr>
          <w:rFonts w:ascii="Times New Roman" w:eastAsia="Songti TC" w:hAnsi="Times New Roman"/>
          <w:sz w:val="24"/>
          <w:szCs w:val="24"/>
        </w:rPr>
        <w:t>是动词</w:t>
      </w:r>
      <w:r w:rsidRPr="006A3596">
        <w:rPr>
          <w:rFonts w:ascii="Times New Roman" w:eastAsia="Songti TC" w:hAnsi="Times New Roman"/>
          <w:sz w:val="24"/>
          <w:szCs w:val="24"/>
        </w:rPr>
        <w:t>”</w:t>
      </w:r>
      <w:r w:rsidRPr="006A3596">
        <w:rPr>
          <w:rFonts w:ascii="Times New Roman" w:eastAsia="Songti TC" w:hAnsi="Times New Roman"/>
          <w:sz w:val="24"/>
          <w:szCs w:val="24"/>
        </w:rPr>
        <w:t>的</w:t>
      </w:r>
      <w:r w:rsidRPr="006A3596">
        <w:rPr>
          <w:rFonts w:ascii="Times New Roman" w:eastAsia="Songti TC" w:hAnsi="Times New Roman"/>
          <w:sz w:val="24"/>
          <w:szCs w:val="24"/>
        </w:rPr>
        <w:t>being</w:t>
      </w:r>
      <w:r w:rsidRPr="006A3596">
        <w:rPr>
          <w:rFonts w:ascii="Times New Roman" w:eastAsia="Songti TC" w:hAnsi="Times New Roman"/>
          <w:sz w:val="24"/>
          <w:szCs w:val="24"/>
        </w:rPr>
        <w:t>与</w:t>
      </w:r>
      <w:r w:rsidRPr="006A3596">
        <w:rPr>
          <w:rFonts w:ascii="Times New Roman" w:eastAsia="Songti TC" w:hAnsi="Times New Roman"/>
          <w:sz w:val="24"/>
          <w:szCs w:val="24"/>
        </w:rPr>
        <w:t>“</w:t>
      </w:r>
      <w:r w:rsidRPr="006A3596">
        <w:rPr>
          <w:rFonts w:ascii="Times New Roman" w:eastAsia="Songti TC" w:hAnsi="Times New Roman"/>
          <w:sz w:val="24"/>
          <w:szCs w:val="24"/>
        </w:rPr>
        <w:t>它所是</w:t>
      </w:r>
      <w:r w:rsidRPr="006A3596">
        <w:rPr>
          <w:rFonts w:ascii="Times New Roman" w:eastAsia="Songti TC" w:hAnsi="Times New Roman"/>
          <w:sz w:val="24"/>
          <w:szCs w:val="24"/>
        </w:rPr>
        <w:t>”</w:t>
      </w:r>
      <w:r w:rsidRPr="006A3596">
        <w:rPr>
          <w:rFonts w:ascii="Times New Roman" w:eastAsia="Songti TC" w:hAnsi="Times New Roman"/>
          <w:sz w:val="24"/>
          <w:szCs w:val="24"/>
        </w:rPr>
        <w:t>的</w:t>
      </w:r>
      <w:r w:rsidRPr="006A3596">
        <w:rPr>
          <w:rFonts w:ascii="Times New Roman" w:eastAsia="Songti TC" w:hAnsi="Times New Roman"/>
          <w:sz w:val="24"/>
          <w:szCs w:val="24"/>
        </w:rPr>
        <w:t>being</w:t>
      </w:r>
      <w:r w:rsidRPr="006A3596">
        <w:rPr>
          <w:rFonts w:ascii="Times New Roman" w:eastAsia="Songti TC" w:hAnsi="Times New Roman"/>
          <w:sz w:val="24"/>
          <w:szCs w:val="24"/>
        </w:rPr>
        <w:t>（</w:t>
      </w:r>
      <w:r w:rsidRPr="006A3596">
        <w:rPr>
          <w:rFonts w:ascii="Times New Roman" w:eastAsia="Songti TC" w:hAnsi="Times New Roman"/>
          <w:sz w:val="24"/>
          <w:szCs w:val="24"/>
        </w:rPr>
        <w:t>a being it is</w:t>
      </w:r>
      <w:r w:rsidRPr="006A3596">
        <w:rPr>
          <w:rFonts w:ascii="Times New Roman" w:eastAsia="Songti TC" w:hAnsi="Times New Roman"/>
          <w:sz w:val="24"/>
          <w:szCs w:val="24"/>
        </w:rPr>
        <w:t>）如何才能在汉语中得以表达？</w:t>
      </w:r>
    </w:p>
    <w:p w14:paraId="46B76D30" w14:textId="77777777" w:rsidR="00A06B54" w:rsidRPr="006A3596" w:rsidRDefault="00A06B54" w:rsidP="006A3596">
      <w:pPr>
        <w:spacing w:before="120" w:after="120"/>
        <w:ind w:firstLine="488"/>
        <w:rPr>
          <w:rFonts w:ascii="Times New Roman" w:eastAsia="Songti TC" w:hAnsi="Times New Roman"/>
          <w:sz w:val="24"/>
          <w:szCs w:val="24"/>
        </w:rPr>
      </w:pPr>
      <w:r w:rsidRPr="006A3596">
        <w:rPr>
          <w:rFonts w:ascii="Times New Roman" w:eastAsia="Songti TC" w:hAnsi="Times New Roman"/>
          <w:sz w:val="24"/>
          <w:szCs w:val="24"/>
        </w:rPr>
        <w:t>在这样的问题线索上，英国汉学家葛瑞汉（</w:t>
      </w:r>
      <w:r w:rsidRPr="006A3596">
        <w:rPr>
          <w:rFonts w:ascii="Times New Roman" w:eastAsia="Songti TC" w:hAnsi="Times New Roman"/>
          <w:sz w:val="24"/>
          <w:szCs w:val="24"/>
        </w:rPr>
        <w:t>Angus Charles Graham</w:t>
      </w:r>
      <w:r w:rsidRPr="006A3596">
        <w:rPr>
          <w:rFonts w:ascii="Times New Roman" w:eastAsia="Songti TC" w:hAnsi="Times New Roman"/>
          <w:sz w:val="24"/>
          <w:szCs w:val="24"/>
        </w:rPr>
        <w:t>）曾就不同于西方的中国</w:t>
      </w:r>
      <w:r w:rsidRPr="006A3596">
        <w:rPr>
          <w:rFonts w:ascii="Times New Roman" w:eastAsia="Songti TC" w:hAnsi="Times New Roman"/>
          <w:sz w:val="24"/>
          <w:szCs w:val="24"/>
        </w:rPr>
        <w:t>“</w:t>
      </w:r>
      <w:r w:rsidRPr="006A3596">
        <w:rPr>
          <w:rFonts w:ascii="Times New Roman" w:eastAsia="Songti TC" w:hAnsi="Times New Roman"/>
          <w:sz w:val="24"/>
          <w:szCs w:val="24"/>
        </w:rPr>
        <w:t>形而上学</w:t>
      </w:r>
      <w:r w:rsidRPr="006A3596">
        <w:rPr>
          <w:rFonts w:ascii="Times New Roman" w:eastAsia="Songti TC" w:hAnsi="Times New Roman"/>
          <w:sz w:val="24"/>
          <w:szCs w:val="24"/>
        </w:rPr>
        <w:t>”</w:t>
      </w:r>
      <w:r w:rsidRPr="006A3596">
        <w:rPr>
          <w:rFonts w:ascii="Times New Roman" w:eastAsia="Songti TC" w:hAnsi="Times New Roman"/>
          <w:sz w:val="24"/>
          <w:szCs w:val="24"/>
        </w:rPr>
        <w:t>有所辨析，一方面是源于印欧语系的</w:t>
      </w:r>
      <w:r w:rsidRPr="006A3596">
        <w:rPr>
          <w:rFonts w:ascii="Times New Roman" w:eastAsia="Songti TC" w:hAnsi="Times New Roman"/>
          <w:sz w:val="24"/>
          <w:szCs w:val="24"/>
        </w:rPr>
        <w:t>Being</w:t>
      </w:r>
      <w:r w:rsidRPr="006A3596">
        <w:rPr>
          <w:rFonts w:ascii="Times New Roman" w:eastAsia="Songti TC" w:hAnsi="Times New Roman"/>
          <w:sz w:val="24"/>
          <w:szCs w:val="24"/>
        </w:rPr>
        <w:t>或者</w:t>
      </w:r>
      <w:r w:rsidRPr="006A3596">
        <w:rPr>
          <w:rFonts w:ascii="Times New Roman" w:eastAsia="Songti TC" w:hAnsi="Times New Roman"/>
          <w:sz w:val="24"/>
          <w:szCs w:val="24"/>
        </w:rPr>
        <w:t>“</w:t>
      </w:r>
      <w:r w:rsidRPr="006A3596">
        <w:rPr>
          <w:rFonts w:ascii="Times New Roman" w:eastAsia="Songti TC" w:hAnsi="Times New Roman"/>
          <w:sz w:val="24"/>
          <w:szCs w:val="24"/>
        </w:rPr>
        <w:t>主谓句法</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Fonts w:ascii="Times New Roman" w:eastAsia="Songti TC" w:hAnsi="Times New Roman"/>
          <w:sz w:val="24"/>
          <w:szCs w:val="24"/>
        </w:rPr>
        <w:t>subject-predicate proposition</w:t>
      </w:r>
      <w:r w:rsidRPr="006A3596">
        <w:rPr>
          <w:rFonts w:ascii="Times New Roman" w:eastAsia="Songti TC" w:hAnsi="Times New Roman"/>
          <w:sz w:val="24"/>
          <w:szCs w:val="24"/>
        </w:rPr>
        <w:t>），另一方面是古代汉语的</w:t>
      </w:r>
      <w:r w:rsidRPr="006A3596">
        <w:rPr>
          <w:rFonts w:ascii="Times New Roman" w:eastAsia="Songti TC" w:hAnsi="Times New Roman"/>
          <w:sz w:val="24"/>
          <w:szCs w:val="24"/>
        </w:rPr>
        <w:t>“</w:t>
      </w:r>
      <w:r w:rsidRPr="006A3596">
        <w:rPr>
          <w:rFonts w:ascii="Times New Roman" w:eastAsia="Songti TC" w:hAnsi="Times New Roman"/>
          <w:sz w:val="24"/>
          <w:szCs w:val="24"/>
        </w:rPr>
        <w:t>是非</w:t>
      </w:r>
      <w:r w:rsidRPr="006A3596">
        <w:rPr>
          <w:rFonts w:ascii="Times New Roman" w:eastAsia="Songti TC" w:hAnsi="Times New Roman"/>
          <w:sz w:val="24"/>
          <w:szCs w:val="24"/>
        </w:rPr>
        <w:t>”</w:t>
      </w:r>
      <w:r w:rsidRPr="006A3596">
        <w:rPr>
          <w:rFonts w:ascii="Times New Roman" w:eastAsia="Songti TC" w:hAnsi="Times New Roman"/>
          <w:sz w:val="24"/>
          <w:szCs w:val="24"/>
        </w:rPr>
        <w:t>和</w:t>
      </w:r>
      <w:r w:rsidRPr="006A3596">
        <w:rPr>
          <w:rFonts w:ascii="Times New Roman" w:eastAsia="Songti TC" w:hAnsi="Times New Roman"/>
          <w:sz w:val="24"/>
          <w:szCs w:val="24"/>
        </w:rPr>
        <w:t>“</w:t>
      </w:r>
      <w:r w:rsidRPr="006A3596">
        <w:rPr>
          <w:rFonts w:ascii="Times New Roman" w:eastAsia="Songti TC" w:hAnsi="Times New Roman"/>
          <w:sz w:val="24"/>
          <w:szCs w:val="24"/>
        </w:rPr>
        <w:t>有无</w:t>
      </w:r>
      <w:r w:rsidRPr="006A3596">
        <w:rPr>
          <w:rFonts w:ascii="Times New Roman" w:eastAsia="Songti TC" w:hAnsi="Times New Roman"/>
          <w:sz w:val="24"/>
          <w:szCs w:val="24"/>
        </w:rPr>
        <w:t>”</w:t>
      </w:r>
      <w:r w:rsidRPr="006A3596">
        <w:rPr>
          <w:rFonts w:ascii="Times New Roman" w:eastAsia="Songti TC" w:hAnsi="Times New Roman"/>
          <w:sz w:val="24"/>
          <w:szCs w:val="24"/>
        </w:rPr>
        <w:t>。他特别以蓝公武翻译《纯粹理性批判》的一段文字为例。蓝公武是从英译本转</w:t>
      </w:r>
      <w:r w:rsidRPr="006A3596">
        <w:rPr>
          <w:rFonts w:ascii="Times New Roman" w:eastAsia="Songti TC" w:hAnsi="Times New Roman"/>
          <w:sz w:val="24"/>
          <w:szCs w:val="24"/>
        </w:rPr>
        <w:lastRenderedPageBreak/>
        <w:t>译康德，其中的困难却如出一辙。</w:t>
      </w:r>
      <w:r w:rsidRPr="006A3596">
        <w:rPr>
          <w:rStyle w:val="Funotenzeichen"/>
          <w:rFonts w:ascii="Times New Roman" w:eastAsia="Songti TC" w:hAnsi="Times New Roman"/>
          <w:sz w:val="24"/>
          <w:szCs w:val="24"/>
        </w:rPr>
        <w:footnoteReference w:id="3"/>
      </w:r>
    </w:p>
    <w:p w14:paraId="05E497B1" w14:textId="77777777" w:rsidR="00A06B54" w:rsidRPr="006A3596" w:rsidRDefault="00A06B54" w:rsidP="006A3596">
      <w:pPr>
        <w:spacing w:before="120" w:after="120"/>
        <w:ind w:firstLine="488"/>
        <w:rPr>
          <w:rFonts w:ascii="Times New Roman" w:eastAsia="Songti TC" w:hAnsi="Times New Roman"/>
          <w:sz w:val="24"/>
          <w:szCs w:val="24"/>
        </w:rPr>
      </w:pPr>
      <w:r w:rsidRPr="006A3596">
        <w:rPr>
          <w:rFonts w:ascii="Times New Roman" w:eastAsia="Songti TC" w:hAnsi="Times New Roman"/>
          <w:sz w:val="24"/>
          <w:szCs w:val="24"/>
        </w:rPr>
        <w:t>关于</w:t>
      </w:r>
      <w:r w:rsidRPr="006A3596">
        <w:rPr>
          <w:rFonts w:ascii="Times New Roman" w:eastAsia="Songti TC" w:hAnsi="Times New Roman"/>
          <w:sz w:val="24"/>
          <w:szCs w:val="24"/>
        </w:rPr>
        <w:t>Being is obviously not a real predicate, … not a concept of something which could be added to the concept of a thing</w:t>
      </w:r>
      <w:r w:rsidRPr="006A3596">
        <w:rPr>
          <w:rFonts w:ascii="Times New Roman" w:eastAsia="Songti TC" w:hAnsi="Times New Roman"/>
          <w:sz w:val="24"/>
          <w:szCs w:val="24"/>
        </w:rPr>
        <w:t>，康德是以</w:t>
      </w:r>
      <w:r w:rsidRPr="006A3596">
        <w:rPr>
          <w:rFonts w:ascii="Times New Roman" w:eastAsia="Songti TC" w:hAnsi="Times New Roman"/>
          <w:sz w:val="24"/>
          <w:szCs w:val="24"/>
        </w:rPr>
        <w:t>God is omnipotent</w:t>
      </w:r>
      <w:r w:rsidRPr="006A3596">
        <w:rPr>
          <w:rFonts w:ascii="Times New Roman" w:eastAsia="Songti TC" w:hAnsi="Times New Roman"/>
          <w:sz w:val="24"/>
          <w:szCs w:val="24"/>
        </w:rPr>
        <w:t>为例，亦即</w:t>
      </w:r>
      <w:r w:rsidRPr="006A3596">
        <w:rPr>
          <w:rFonts w:ascii="Times New Roman" w:eastAsia="Songti TC" w:hAnsi="Times New Roman"/>
          <w:sz w:val="24"/>
          <w:szCs w:val="24"/>
        </w:rPr>
        <w:t>the small word “is” adds no new predicate</w:t>
      </w:r>
      <w:r w:rsidRPr="006A3596">
        <w:rPr>
          <w:rFonts w:ascii="Times New Roman" w:eastAsia="Songti TC" w:hAnsi="Times New Roman"/>
          <w:sz w:val="24"/>
          <w:szCs w:val="24"/>
        </w:rPr>
        <w:t>。问题在于：汉语本来无所谓</w:t>
      </w:r>
      <w:r w:rsidRPr="006A3596">
        <w:rPr>
          <w:rFonts w:ascii="Times New Roman" w:eastAsia="Songti TC" w:hAnsi="Times New Roman"/>
          <w:sz w:val="24"/>
          <w:szCs w:val="24"/>
        </w:rPr>
        <w:t>the capital word “Being”</w:t>
      </w:r>
      <w:r w:rsidRPr="006A3596">
        <w:rPr>
          <w:rFonts w:ascii="Times New Roman" w:eastAsia="Songti TC" w:hAnsi="Times New Roman"/>
          <w:sz w:val="24"/>
          <w:szCs w:val="24"/>
        </w:rPr>
        <w:t>，因此</w:t>
      </w:r>
      <w:r w:rsidRPr="006A3596">
        <w:rPr>
          <w:rFonts w:ascii="Times New Roman" w:eastAsia="Songti TC" w:hAnsi="Times New Roman"/>
          <w:sz w:val="24"/>
          <w:szCs w:val="24"/>
        </w:rPr>
        <w:t>the small word “is”</w:t>
      </w:r>
      <w:r w:rsidRPr="006A3596">
        <w:rPr>
          <w:rFonts w:ascii="Times New Roman" w:eastAsia="Songti TC" w:hAnsi="Times New Roman"/>
          <w:sz w:val="24"/>
          <w:szCs w:val="24"/>
        </w:rPr>
        <w:t>也就没有意义。于是蓝公武的译本只好使用</w:t>
      </w:r>
      <w:r w:rsidRPr="006A3596">
        <w:rPr>
          <w:rFonts w:ascii="Times New Roman" w:eastAsia="Songti TC" w:hAnsi="Times New Roman"/>
          <w:sz w:val="24"/>
          <w:szCs w:val="24"/>
        </w:rPr>
        <w:t>“</w:t>
      </w:r>
      <w:r w:rsidRPr="006A3596">
        <w:rPr>
          <w:rFonts w:ascii="Times New Roman" w:eastAsia="Songti TC" w:hAnsi="Times New Roman"/>
          <w:sz w:val="24"/>
          <w:szCs w:val="24"/>
        </w:rPr>
        <w:t>为</w:t>
      </w:r>
      <w:r w:rsidRPr="006A3596">
        <w:rPr>
          <w:rFonts w:ascii="Times New Roman" w:eastAsia="Songti TC" w:hAnsi="Times New Roman"/>
          <w:sz w:val="24"/>
          <w:szCs w:val="24"/>
        </w:rPr>
        <w:t>”“</w:t>
      </w:r>
      <w:r w:rsidRPr="006A3596">
        <w:rPr>
          <w:rFonts w:ascii="Times New Roman" w:eastAsia="Songti TC" w:hAnsi="Times New Roman"/>
          <w:sz w:val="24"/>
          <w:szCs w:val="24"/>
        </w:rPr>
        <w:t>在</w:t>
      </w:r>
      <w:r w:rsidRPr="006A3596">
        <w:rPr>
          <w:rFonts w:ascii="Times New Roman" w:eastAsia="Songti TC" w:hAnsi="Times New Roman"/>
          <w:sz w:val="24"/>
          <w:szCs w:val="24"/>
        </w:rPr>
        <w:t>”“</w:t>
      </w:r>
      <w:r w:rsidRPr="006A3596">
        <w:rPr>
          <w:rFonts w:ascii="Times New Roman" w:eastAsia="Songti TC" w:hAnsi="Times New Roman"/>
          <w:sz w:val="24"/>
          <w:szCs w:val="24"/>
        </w:rPr>
        <w:t>有</w:t>
      </w:r>
      <w:r w:rsidRPr="006A3596">
        <w:rPr>
          <w:rFonts w:ascii="Times New Roman" w:eastAsia="Songti TC" w:hAnsi="Times New Roman"/>
          <w:sz w:val="24"/>
          <w:szCs w:val="24"/>
        </w:rPr>
        <w:t>”</w:t>
      </w:r>
      <w:r w:rsidRPr="006A3596">
        <w:rPr>
          <w:rFonts w:ascii="Times New Roman" w:eastAsia="Songti TC" w:hAnsi="Times New Roman"/>
          <w:sz w:val="24"/>
          <w:szCs w:val="24"/>
        </w:rPr>
        <w:t>三个不同的词语，分别翻译德文的</w:t>
      </w:r>
      <w:r w:rsidRPr="006A3596">
        <w:rPr>
          <w:rFonts w:ascii="Times New Roman" w:eastAsia="Songti TC" w:hAnsi="Times New Roman"/>
          <w:sz w:val="24"/>
          <w:szCs w:val="24"/>
        </w:rPr>
        <w:t>Sein</w:t>
      </w:r>
      <w:r w:rsidRPr="006A3596">
        <w:rPr>
          <w:rFonts w:ascii="Times New Roman" w:eastAsia="Songti TC" w:hAnsi="Times New Roman"/>
          <w:sz w:val="24"/>
          <w:szCs w:val="24"/>
        </w:rPr>
        <w:t>和英文的</w:t>
      </w:r>
      <w:r w:rsidRPr="006A3596">
        <w:rPr>
          <w:rFonts w:ascii="Times New Roman" w:eastAsia="Songti TC" w:hAnsi="Times New Roman"/>
          <w:sz w:val="24"/>
          <w:szCs w:val="24"/>
        </w:rPr>
        <w:t>Being</w:t>
      </w:r>
      <w:r w:rsidRPr="006A3596">
        <w:rPr>
          <w:rFonts w:ascii="Times New Roman" w:eastAsia="Songti TC" w:hAnsi="Times New Roman"/>
          <w:sz w:val="24"/>
          <w:szCs w:val="24"/>
        </w:rPr>
        <w:t>。</w:t>
      </w:r>
    </w:p>
    <w:p w14:paraId="2D9C1F31" w14:textId="77777777" w:rsidR="00A06B54" w:rsidRPr="006A3596" w:rsidRDefault="00A06B54" w:rsidP="006A3596">
      <w:pPr>
        <w:spacing w:before="120" w:after="120"/>
        <w:ind w:firstLine="488"/>
        <w:rPr>
          <w:rFonts w:ascii="Times New Roman" w:eastAsia="Songti TC" w:hAnsi="Times New Roman"/>
          <w:sz w:val="24"/>
          <w:szCs w:val="24"/>
        </w:rPr>
      </w:pPr>
      <w:r w:rsidRPr="006A3596">
        <w:rPr>
          <w:rFonts w:ascii="Times New Roman" w:eastAsia="Songti TC" w:hAnsi="Times New Roman"/>
          <w:sz w:val="24"/>
          <w:szCs w:val="24"/>
        </w:rPr>
        <w:t>这一问题也曾被图根特哈特（</w:t>
      </w:r>
      <w:r w:rsidRPr="006A3596">
        <w:rPr>
          <w:rFonts w:ascii="Times New Roman" w:eastAsia="Songti TC" w:hAnsi="Times New Roman"/>
          <w:sz w:val="24"/>
          <w:szCs w:val="24"/>
        </w:rPr>
        <w:t>Ernst Tugendhat</w:t>
      </w:r>
      <w:r w:rsidRPr="006A3596">
        <w:rPr>
          <w:rFonts w:ascii="Times New Roman" w:eastAsia="Songti TC" w:hAnsi="Times New Roman"/>
          <w:sz w:val="24"/>
          <w:szCs w:val="24"/>
        </w:rPr>
        <w:t>）予以归纳，或许借此才能在汉语中理解</w:t>
      </w:r>
      <w:r w:rsidRPr="006A3596">
        <w:rPr>
          <w:rFonts w:ascii="Times New Roman" w:eastAsia="Songti TC" w:hAnsi="Times New Roman"/>
          <w:sz w:val="24"/>
          <w:szCs w:val="24"/>
        </w:rPr>
        <w:t>the small word “is”</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Fonts w:ascii="Times New Roman" w:eastAsia="Songti TC" w:hAnsi="Times New Roman"/>
          <w:sz w:val="24"/>
          <w:szCs w:val="24"/>
        </w:rPr>
        <w:t>存在</w:t>
      </w:r>
      <w:r w:rsidRPr="006A3596">
        <w:rPr>
          <w:rFonts w:ascii="Times New Roman" w:eastAsia="Songti TC" w:hAnsi="Times New Roman"/>
          <w:sz w:val="24"/>
          <w:szCs w:val="24"/>
        </w:rPr>
        <w:t>’</w:t>
      </w:r>
      <w:r w:rsidRPr="006A3596">
        <w:rPr>
          <w:rFonts w:ascii="Times New Roman" w:eastAsia="Songti TC" w:hAnsi="Times New Roman"/>
          <w:sz w:val="24"/>
          <w:szCs w:val="24"/>
        </w:rPr>
        <w:t>之中最根本的重合性质（</w:t>
      </w:r>
      <w:r w:rsidRPr="006A3596">
        <w:rPr>
          <w:rFonts w:ascii="Times New Roman" w:eastAsia="Songti TC" w:hAnsi="Times New Roman"/>
          <w:sz w:val="24"/>
          <w:szCs w:val="24"/>
        </w:rPr>
        <w:t>a fundamental duplicity in Being</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Fonts w:ascii="Times New Roman" w:eastAsia="Songti TC" w:hAnsi="Times New Roman"/>
          <w:sz w:val="24"/>
          <w:szCs w:val="24"/>
        </w:rPr>
        <w:t>，也就是说：</w:t>
      </w:r>
      <w:r w:rsidRPr="006A3596">
        <w:rPr>
          <w:rFonts w:ascii="Times New Roman" w:eastAsia="Songti TC" w:hAnsi="Times New Roman"/>
          <w:sz w:val="24"/>
          <w:szCs w:val="24"/>
        </w:rPr>
        <w:t>“</w:t>
      </w:r>
      <w:r w:rsidRPr="006A3596">
        <w:rPr>
          <w:rFonts w:ascii="Times New Roman" w:eastAsia="Songti TC" w:hAnsi="Times New Roman"/>
          <w:sz w:val="24"/>
          <w:szCs w:val="24"/>
        </w:rPr>
        <w:t>存在（</w:t>
      </w:r>
      <w:r w:rsidRPr="006A3596">
        <w:rPr>
          <w:rFonts w:ascii="Times New Roman" w:eastAsia="Songti TC" w:hAnsi="Times New Roman"/>
          <w:sz w:val="24"/>
          <w:szCs w:val="24"/>
        </w:rPr>
        <w:t>Being</w:t>
      </w:r>
      <w:r w:rsidRPr="006A3596">
        <w:rPr>
          <w:rFonts w:ascii="Times New Roman" w:eastAsia="Songti TC" w:hAnsi="Times New Roman"/>
          <w:sz w:val="24"/>
          <w:szCs w:val="24"/>
        </w:rPr>
        <w:t>）之所以成其于</w:t>
      </w:r>
      <w:r w:rsidRPr="006A3596">
        <w:rPr>
          <w:rFonts w:ascii="Times New Roman" w:eastAsia="Songti TC" w:hAnsi="Times New Roman"/>
          <w:sz w:val="24"/>
          <w:szCs w:val="24"/>
        </w:rPr>
        <w:t>‘</w:t>
      </w:r>
      <w:r w:rsidRPr="006A3596">
        <w:rPr>
          <w:rFonts w:ascii="Times New Roman" w:eastAsia="Songti TC" w:hAnsi="Times New Roman"/>
          <w:sz w:val="24"/>
          <w:szCs w:val="24"/>
        </w:rPr>
        <w:t>是</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Fonts w:ascii="Times New Roman" w:eastAsia="Songti TC" w:hAnsi="Times New Roman"/>
          <w:sz w:val="24"/>
          <w:szCs w:val="24"/>
        </w:rPr>
        <w:t>is</w:t>
      </w:r>
      <w:r w:rsidRPr="006A3596">
        <w:rPr>
          <w:rFonts w:ascii="Times New Roman" w:eastAsia="Songti TC" w:hAnsi="Times New Roman"/>
          <w:sz w:val="24"/>
          <w:szCs w:val="24"/>
        </w:rPr>
        <w:t>），仅仅是由于这两个概念交织在一起，从而在它们之间构成了一种关系，使谓语和主语相互指涉</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Fonts w:ascii="Times New Roman" w:eastAsia="Songti TC" w:hAnsi="Times New Roman"/>
          <w:sz w:val="24"/>
          <w:szCs w:val="24"/>
        </w:rPr>
        <w:t>Being “is” only as long as the two parts are joined, creating a relation between two terms where one refers to the other as the predicate and subject</w:t>
      </w:r>
      <w:r w:rsidRPr="006A3596">
        <w:rPr>
          <w:rFonts w:ascii="Times New Roman" w:eastAsia="Songti TC" w:hAnsi="Times New Roman"/>
          <w:sz w:val="24"/>
          <w:szCs w:val="24"/>
        </w:rPr>
        <w:t>）。换言之，在谓语</w:t>
      </w:r>
      <w:r w:rsidRPr="006A3596">
        <w:rPr>
          <w:rFonts w:ascii="Times New Roman" w:eastAsia="Songti TC" w:hAnsi="Times New Roman"/>
          <w:sz w:val="24"/>
          <w:szCs w:val="24"/>
        </w:rPr>
        <w:t>“</w:t>
      </w:r>
      <w:r w:rsidRPr="006A3596">
        <w:rPr>
          <w:rFonts w:ascii="Times New Roman" w:eastAsia="Songti TC" w:hAnsi="Times New Roman"/>
          <w:sz w:val="24"/>
          <w:szCs w:val="24"/>
        </w:rPr>
        <w:t>是</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Fonts w:ascii="Times New Roman" w:eastAsia="Songti TC" w:hAnsi="Times New Roman"/>
          <w:sz w:val="24"/>
          <w:szCs w:val="24"/>
        </w:rPr>
        <w:t>is</w:t>
      </w:r>
      <w:r w:rsidRPr="006A3596">
        <w:rPr>
          <w:rFonts w:ascii="Times New Roman" w:eastAsia="Songti TC" w:hAnsi="Times New Roman"/>
          <w:sz w:val="24"/>
          <w:szCs w:val="24"/>
        </w:rPr>
        <w:t>）对主语</w:t>
      </w:r>
      <w:r w:rsidRPr="006A3596">
        <w:rPr>
          <w:rFonts w:ascii="Times New Roman" w:eastAsia="Songti TC" w:hAnsi="Times New Roman"/>
          <w:sz w:val="24"/>
          <w:szCs w:val="24"/>
        </w:rPr>
        <w:t>“</w:t>
      </w:r>
      <w:r w:rsidRPr="006A3596">
        <w:rPr>
          <w:rFonts w:ascii="Times New Roman" w:eastAsia="Songti TC" w:hAnsi="Times New Roman"/>
          <w:sz w:val="24"/>
          <w:szCs w:val="24"/>
        </w:rPr>
        <w:t>存在</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Fonts w:ascii="Times New Roman" w:eastAsia="Songti TC" w:hAnsi="Times New Roman"/>
          <w:sz w:val="24"/>
          <w:szCs w:val="24"/>
        </w:rPr>
        <w:t>Being</w:t>
      </w:r>
      <w:r w:rsidRPr="006A3596">
        <w:rPr>
          <w:rFonts w:ascii="Times New Roman" w:eastAsia="Songti TC" w:hAnsi="Times New Roman"/>
          <w:sz w:val="24"/>
          <w:szCs w:val="24"/>
        </w:rPr>
        <w:t>）的</w:t>
      </w:r>
      <w:r w:rsidRPr="006A3596">
        <w:rPr>
          <w:rFonts w:ascii="Times New Roman" w:eastAsia="Songti TC" w:hAnsi="Times New Roman"/>
          <w:sz w:val="24"/>
          <w:szCs w:val="24"/>
        </w:rPr>
        <w:t>“</w:t>
      </w:r>
      <w:r w:rsidRPr="006A3596">
        <w:rPr>
          <w:rFonts w:ascii="Times New Roman" w:eastAsia="Songti TC" w:hAnsi="Times New Roman"/>
          <w:sz w:val="24"/>
          <w:szCs w:val="24"/>
        </w:rPr>
        <w:t>重复</w:t>
      </w:r>
      <w:r w:rsidRPr="006A3596">
        <w:rPr>
          <w:rFonts w:ascii="Times New Roman" w:eastAsia="Songti TC" w:hAnsi="Times New Roman"/>
          <w:sz w:val="24"/>
          <w:szCs w:val="24"/>
        </w:rPr>
        <w:t>”</w:t>
      </w:r>
      <w:r w:rsidRPr="006A3596">
        <w:rPr>
          <w:rFonts w:ascii="Times New Roman" w:eastAsia="Songti TC" w:hAnsi="Times New Roman"/>
          <w:sz w:val="24"/>
          <w:szCs w:val="24"/>
        </w:rPr>
        <w:t>中（</w:t>
      </w:r>
      <w:r w:rsidRPr="006A3596">
        <w:rPr>
          <w:rFonts w:ascii="Times New Roman" w:eastAsia="Songti TC" w:hAnsi="Times New Roman"/>
          <w:sz w:val="24"/>
          <w:szCs w:val="24"/>
        </w:rPr>
        <w:t>by duplicating Being</w:t>
      </w:r>
      <w:r w:rsidRPr="006A3596">
        <w:rPr>
          <w:rFonts w:ascii="Times New Roman" w:eastAsia="Songti TC" w:hAnsi="Times New Roman"/>
          <w:sz w:val="24"/>
          <w:szCs w:val="24"/>
        </w:rPr>
        <w:t>），基于印欧语系的</w:t>
      </w:r>
      <w:r w:rsidRPr="006A3596">
        <w:rPr>
          <w:rFonts w:ascii="Times New Roman" w:eastAsia="Songti TC" w:hAnsi="Times New Roman"/>
          <w:sz w:val="24"/>
          <w:szCs w:val="24"/>
        </w:rPr>
        <w:t>“</w:t>
      </w:r>
      <w:r w:rsidRPr="006A3596">
        <w:rPr>
          <w:rFonts w:ascii="Times New Roman" w:eastAsia="Songti TC" w:hAnsi="Times New Roman"/>
          <w:sz w:val="24"/>
          <w:szCs w:val="24"/>
        </w:rPr>
        <w:t>存在</w:t>
      </w:r>
      <w:r w:rsidRPr="006A3596">
        <w:rPr>
          <w:rFonts w:ascii="Times New Roman" w:eastAsia="Songti TC" w:hAnsi="Times New Roman"/>
          <w:sz w:val="24"/>
          <w:szCs w:val="24"/>
        </w:rPr>
        <w:t>”</w:t>
      </w:r>
      <w:r w:rsidRPr="006A3596">
        <w:rPr>
          <w:rFonts w:ascii="Times New Roman" w:eastAsia="Songti TC" w:hAnsi="Times New Roman"/>
          <w:sz w:val="24"/>
          <w:szCs w:val="24"/>
        </w:rPr>
        <w:t>才得以说明。</w:t>
      </w:r>
      <w:r w:rsidRPr="006A3596">
        <w:rPr>
          <w:rStyle w:val="Funotenzeichen"/>
          <w:rFonts w:ascii="Times New Roman" w:eastAsia="Songti TC" w:hAnsi="Times New Roman"/>
          <w:sz w:val="24"/>
          <w:szCs w:val="24"/>
        </w:rPr>
        <w:footnoteReference w:id="4"/>
      </w:r>
    </w:p>
    <w:p w14:paraId="596575FD" w14:textId="77777777" w:rsidR="00A06B54" w:rsidRPr="006A3596" w:rsidRDefault="00A06B54" w:rsidP="006A3596">
      <w:pPr>
        <w:spacing w:before="120" w:after="120"/>
        <w:ind w:firstLine="488"/>
        <w:rPr>
          <w:rFonts w:ascii="Times New Roman" w:eastAsia="Songti TC" w:hAnsi="Times New Roman"/>
          <w:sz w:val="24"/>
          <w:szCs w:val="24"/>
        </w:rPr>
      </w:pPr>
      <w:r w:rsidRPr="006A3596">
        <w:rPr>
          <w:rFonts w:ascii="Times New Roman" w:eastAsia="Songti TC" w:hAnsi="Times New Roman"/>
          <w:sz w:val="24"/>
          <w:szCs w:val="24"/>
        </w:rPr>
        <w:t>葛瑞汉认为：使用三个不同的词语分别翻译德文的</w:t>
      </w:r>
      <w:r w:rsidRPr="006A3596">
        <w:rPr>
          <w:rFonts w:ascii="Times New Roman" w:eastAsia="Songti TC" w:hAnsi="Times New Roman"/>
          <w:i/>
          <w:sz w:val="24"/>
          <w:szCs w:val="24"/>
        </w:rPr>
        <w:t>Sein</w:t>
      </w:r>
      <w:r w:rsidRPr="006A3596">
        <w:rPr>
          <w:rFonts w:ascii="Times New Roman" w:eastAsia="Songti TC" w:hAnsi="Times New Roman"/>
          <w:sz w:val="24"/>
          <w:szCs w:val="24"/>
        </w:rPr>
        <w:t>和英文的</w:t>
      </w:r>
      <w:r w:rsidRPr="006A3596">
        <w:rPr>
          <w:rFonts w:ascii="Times New Roman" w:eastAsia="Songti TC" w:hAnsi="Times New Roman"/>
          <w:sz w:val="24"/>
          <w:szCs w:val="24"/>
        </w:rPr>
        <w:t>Being</w:t>
      </w:r>
      <w:r w:rsidRPr="006A3596">
        <w:rPr>
          <w:rFonts w:ascii="Times New Roman" w:eastAsia="Songti TC" w:hAnsi="Times New Roman"/>
          <w:sz w:val="24"/>
          <w:szCs w:val="24"/>
        </w:rPr>
        <w:t>，其实是</w:t>
      </w:r>
      <w:r w:rsidRPr="006A3596">
        <w:rPr>
          <w:rFonts w:ascii="Times New Roman" w:eastAsia="Songti TC" w:hAnsi="Times New Roman"/>
          <w:sz w:val="24"/>
          <w:szCs w:val="24"/>
        </w:rPr>
        <w:t>“</w:t>
      </w:r>
      <w:r w:rsidRPr="006A3596">
        <w:rPr>
          <w:rFonts w:ascii="Times New Roman" w:eastAsia="Songti TC" w:hAnsi="Times New Roman"/>
          <w:sz w:val="24"/>
          <w:szCs w:val="24"/>
        </w:rPr>
        <w:t>中国翻译家力图用一种语言再生西方的谬误</w:t>
      </w:r>
      <w:r w:rsidRPr="006A3596">
        <w:rPr>
          <w:rFonts w:ascii="Times New Roman" w:eastAsia="Songti TC" w:hAnsi="Times New Roman"/>
          <w:sz w:val="24"/>
          <w:szCs w:val="24"/>
        </w:rPr>
        <w:t>”</w:t>
      </w:r>
      <w:r w:rsidRPr="006A3596">
        <w:rPr>
          <w:rFonts w:ascii="Times New Roman" w:eastAsia="Songti TC" w:hAnsi="Times New Roman"/>
          <w:sz w:val="24"/>
          <w:szCs w:val="24"/>
        </w:rPr>
        <w:t>，可惜</w:t>
      </w:r>
      <w:r w:rsidRPr="006A3596">
        <w:rPr>
          <w:rFonts w:ascii="Times New Roman" w:eastAsia="Songti TC" w:hAnsi="Times New Roman"/>
          <w:sz w:val="24"/>
          <w:szCs w:val="24"/>
        </w:rPr>
        <w:t>“</w:t>
      </w:r>
      <w:r w:rsidRPr="006A3596">
        <w:rPr>
          <w:rFonts w:ascii="Times New Roman" w:eastAsia="Songti TC" w:hAnsi="Times New Roman"/>
          <w:sz w:val="24"/>
          <w:szCs w:val="24"/>
        </w:rPr>
        <w:t>这种语言无论有什么缺点，也绝不允许他们犯这些特别的错误</w:t>
      </w:r>
      <w:r w:rsidRPr="006A3596">
        <w:rPr>
          <w:rFonts w:ascii="Times New Roman" w:eastAsia="Songti TC" w:hAnsi="Times New Roman"/>
          <w:sz w:val="24"/>
          <w:szCs w:val="24"/>
        </w:rPr>
        <w:t>”</w:t>
      </w:r>
      <w:r w:rsidRPr="006A3596">
        <w:rPr>
          <w:rFonts w:ascii="Times New Roman" w:eastAsia="Songti TC" w:hAnsi="Times New Roman"/>
          <w:sz w:val="24"/>
          <w:szCs w:val="24"/>
        </w:rPr>
        <w:t>；这说明</w:t>
      </w:r>
      <w:r w:rsidRPr="006A3596">
        <w:rPr>
          <w:rFonts w:ascii="Times New Roman" w:eastAsia="Songti TC" w:hAnsi="Times New Roman"/>
          <w:sz w:val="24"/>
          <w:szCs w:val="24"/>
        </w:rPr>
        <w:t>“</w:t>
      </w:r>
      <w:r w:rsidRPr="006A3596">
        <w:rPr>
          <w:rFonts w:ascii="Times New Roman" w:eastAsia="Songti TC" w:hAnsi="Times New Roman"/>
          <w:sz w:val="24"/>
          <w:szCs w:val="24"/>
        </w:rPr>
        <w:t>我们的思维方式不仅受到了我们所讲的语言的影响，也受到了我们强加其上的语法和这些问题最初在其</w:t>
      </w:r>
      <w:r w:rsidRPr="006A3596">
        <w:rPr>
          <w:rFonts w:ascii="Times New Roman" w:eastAsia="Songti TC" w:hAnsi="Times New Roman"/>
          <w:sz w:val="24"/>
          <w:szCs w:val="24"/>
        </w:rPr>
        <w:lastRenderedPageBreak/>
        <w:t>中得以表达的那些语言的影响</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Style w:val="Funotenzeichen"/>
          <w:rFonts w:ascii="Times New Roman" w:eastAsia="Songti TC" w:hAnsi="Times New Roman"/>
          <w:sz w:val="24"/>
          <w:szCs w:val="24"/>
        </w:rPr>
        <w:footnoteReference w:id="5"/>
      </w:r>
    </w:p>
    <w:p w14:paraId="246C46ED" w14:textId="77777777" w:rsidR="00A06B54" w:rsidRPr="006A3596" w:rsidRDefault="00A06B54" w:rsidP="006A3596">
      <w:pPr>
        <w:pStyle w:val="NurText"/>
        <w:tabs>
          <w:tab w:val="left" w:pos="5860"/>
        </w:tabs>
        <w:spacing w:before="120" w:after="120"/>
        <w:ind w:firstLine="488"/>
        <w:contextualSpacing/>
        <w:rPr>
          <w:rFonts w:ascii="Times New Roman" w:eastAsia="Songti TC" w:hAnsi="Times New Roman"/>
          <w:sz w:val="24"/>
          <w:szCs w:val="24"/>
          <w:lang w:val="en-US" w:eastAsia="zh-CN"/>
        </w:rPr>
      </w:pPr>
      <w:r w:rsidRPr="006A3596">
        <w:rPr>
          <w:rFonts w:ascii="Times New Roman" w:eastAsia="Songti TC" w:hAnsi="Times New Roman"/>
          <w:sz w:val="24"/>
          <w:szCs w:val="24"/>
          <w:lang w:val="en-US" w:eastAsia="zh-CN"/>
        </w:rPr>
        <w:t>与之同理，海德格尔声称</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有一个句子指引他沉思</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his mediation is oriented by the sentence</w:t>
      </w:r>
      <w:r w:rsidRPr="006A3596">
        <w:rPr>
          <w:rFonts w:ascii="Times New Roman" w:eastAsia="Songti TC" w:hAnsi="Times New Roman"/>
          <w:sz w:val="24"/>
          <w:szCs w:val="24"/>
          <w:lang w:val="en-US" w:eastAsia="zh-CN"/>
        </w:rPr>
        <w:t>），即：</w:t>
      </w:r>
      <w:r w:rsidRPr="006A3596">
        <w:rPr>
          <w:rFonts w:ascii="Times New Roman" w:eastAsia="Songti TC" w:hAnsi="Times New Roman"/>
          <w:sz w:val="24"/>
          <w:szCs w:val="24"/>
          <w:lang w:val="en-US" w:eastAsia="zh-CN"/>
        </w:rPr>
        <w:t xml:space="preserve">Es </w:t>
      </w:r>
      <w:proofErr w:type="spellStart"/>
      <w:r w:rsidRPr="006A3596">
        <w:rPr>
          <w:rFonts w:ascii="Times New Roman" w:eastAsia="Songti TC" w:hAnsi="Times New Roman"/>
          <w:sz w:val="24"/>
          <w:szCs w:val="24"/>
          <w:lang w:val="en-US" w:eastAsia="zh-CN"/>
        </w:rPr>
        <w:t>gibt</w:t>
      </w:r>
      <w:proofErr w:type="spellEnd"/>
      <w:r w:rsidRPr="006A3596">
        <w:rPr>
          <w:rFonts w:ascii="Times New Roman" w:eastAsia="Songti TC" w:hAnsi="Times New Roman"/>
          <w:sz w:val="24"/>
          <w:szCs w:val="24"/>
          <w:lang w:val="en-US" w:eastAsia="zh-CN"/>
        </w:rPr>
        <w:t xml:space="preserve"> Sein, Es </w:t>
      </w:r>
      <w:proofErr w:type="spellStart"/>
      <w:r w:rsidRPr="006A3596">
        <w:rPr>
          <w:rFonts w:ascii="Times New Roman" w:eastAsia="Songti TC" w:hAnsi="Times New Roman"/>
          <w:sz w:val="24"/>
          <w:szCs w:val="24"/>
          <w:lang w:val="en-US" w:eastAsia="zh-CN"/>
        </w:rPr>
        <w:t>gibt</w:t>
      </w:r>
      <w:proofErr w:type="spellEnd"/>
      <w:r w:rsidRPr="006A3596">
        <w:rPr>
          <w:rFonts w:ascii="Times New Roman" w:eastAsia="Songti TC" w:hAnsi="Times New Roman"/>
          <w:sz w:val="24"/>
          <w:szCs w:val="24"/>
          <w:lang w:val="en-US" w:eastAsia="zh-CN"/>
        </w:rPr>
        <w:t xml:space="preserve"> Zeit, which literally means: It gives Being, It gives time</w:t>
      </w:r>
      <w:r w:rsidRPr="006A3596">
        <w:rPr>
          <w:rFonts w:ascii="Times New Roman" w:eastAsia="Songti TC" w:hAnsi="Times New Roman"/>
          <w:sz w:val="24"/>
          <w:szCs w:val="24"/>
          <w:lang w:val="en-US" w:eastAsia="zh-CN"/>
        </w:rPr>
        <w:t>。这对西方学者可能是不言自明的：</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给出</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 xml:space="preserve">Es </w:t>
      </w:r>
      <w:proofErr w:type="spellStart"/>
      <w:r w:rsidRPr="006A3596">
        <w:rPr>
          <w:rFonts w:ascii="Times New Roman" w:eastAsia="Songti TC" w:hAnsi="Times New Roman"/>
          <w:sz w:val="24"/>
          <w:szCs w:val="24"/>
          <w:lang w:val="en-US" w:eastAsia="zh-CN"/>
        </w:rPr>
        <w:t>gibt</w:t>
      </w:r>
      <w:proofErr w:type="spellEnd"/>
      <w:r w:rsidRPr="006A3596">
        <w:rPr>
          <w:rFonts w:ascii="Times New Roman" w:eastAsia="Songti TC" w:hAnsi="Times New Roman"/>
          <w:sz w:val="24"/>
          <w:szCs w:val="24"/>
          <w:lang w:val="en-US" w:eastAsia="zh-CN"/>
        </w:rPr>
        <w:t>）便意味着</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赠予并不仅仅指所赠之物</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an offering which is not itself reducible to what is offering</w:t>
      </w:r>
      <w:r w:rsidRPr="006A3596">
        <w:rPr>
          <w:rFonts w:ascii="Times New Roman" w:eastAsia="Songti TC" w:hAnsi="Times New Roman"/>
          <w:sz w:val="24"/>
          <w:szCs w:val="24"/>
          <w:lang w:val="en-US" w:eastAsia="zh-CN"/>
        </w:rPr>
        <w:t>）；正如</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时间被给出</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作为一种</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赠予</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，其实是</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不断从所赠之物抽象出自己</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withdrawing itself within what is offered</w:t>
      </w:r>
      <w:r w:rsidRPr="006A3596">
        <w:rPr>
          <w:rFonts w:ascii="Times New Roman" w:eastAsia="Songti TC" w:hAnsi="Times New Roman"/>
          <w:sz w:val="24"/>
          <w:szCs w:val="24"/>
          <w:lang w:val="en-US" w:eastAsia="zh-CN"/>
        </w:rPr>
        <w:t>），从而</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现在</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不仅是时间的现在、也是人所受赠的礼物</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in the word “present”, there is more than the now; what is also meant by the word is a gift bestowed upon man</w:t>
      </w:r>
      <w:r w:rsidRPr="006A3596">
        <w:rPr>
          <w:rFonts w:ascii="Times New Roman" w:eastAsia="Songti TC" w:hAnsi="Times New Roman"/>
          <w:sz w:val="24"/>
          <w:szCs w:val="24"/>
          <w:lang w:val="en-US" w:eastAsia="zh-CN"/>
        </w:rPr>
        <w:t>）</w:t>
      </w:r>
      <w:r w:rsidRPr="006A3596">
        <w:rPr>
          <w:rStyle w:val="Funotenzeichen"/>
          <w:rFonts w:ascii="Times New Roman" w:eastAsia="Songti TC" w:hAnsi="Times New Roman"/>
          <w:sz w:val="24"/>
          <w:szCs w:val="24"/>
          <w:lang w:val="en-US" w:eastAsia="zh-CN"/>
        </w:rPr>
        <w:footnoteReference w:id="6"/>
      </w:r>
      <w:r w:rsidRPr="006A3596">
        <w:rPr>
          <w:rFonts w:ascii="Times New Roman" w:eastAsia="Songti TC" w:hAnsi="Times New Roman"/>
          <w:sz w:val="24"/>
          <w:szCs w:val="24"/>
          <w:lang w:val="en-US" w:eastAsia="zh-CN"/>
        </w:rPr>
        <w:t>对汉语读者而言，这当然需要理解</w:t>
      </w:r>
      <w:r w:rsidRPr="006A3596">
        <w:rPr>
          <w:rFonts w:ascii="Times New Roman" w:eastAsia="Songti TC" w:hAnsi="Times New Roman"/>
          <w:sz w:val="24"/>
          <w:szCs w:val="24"/>
          <w:lang w:val="en-US" w:eastAsia="zh-CN"/>
        </w:rPr>
        <w:t>present</w:t>
      </w:r>
      <w:r w:rsidRPr="006A3596">
        <w:rPr>
          <w:rFonts w:ascii="Times New Roman" w:eastAsia="Songti TC" w:hAnsi="Times New Roman"/>
          <w:sz w:val="24"/>
          <w:szCs w:val="24"/>
          <w:lang w:val="en-US" w:eastAsia="zh-CN"/>
        </w:rPr>
        <w:t>一词的双关（</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现在</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和</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礼物</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），但是连接二者的</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被给予</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逻辑（</w:t>
      </w:r>
      <w:r w:rsidRPr="006A3596">
        <w:rPr>
          <w:rFonts w:ascii="Times New Roman" w:eastAsia="Songti TC" w:hAnsi="Times New Roman"/>
          <w:sz w:val="24"/>
          <w:szCs w:val="24"/>
          <w:lang w:val="en-US" w:eastAsia="zh-CN"/>
        </w:rPr>
        <w:t>the present is given</w:t>
      </w:r>
      <w:r w:rsidRPr="006A3596">
        <w:rPr>
          <w:rFonts w:ascii="Times New Roman" w:eastAsia="Songti TC" w:hAnsi="Times New Roman"/>
          <w:sz w:val="24"/>
          <w:szCs w:val="24"/>
          <w:lang w:val="en-US" w:eastAsia="zh-CN"/>
        </w:rPr>
        <w:t>）显然更为关键，因为</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重点不再是赠予自身之所为，却是赠予被接受</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The emphasis is no longer on the project of the self but on receptivity of the granting</w:t>
      </w:r>
      <w:r w:rsidRPr="006A3596">
        <w:rPr>
          <w:rFonts w:ascii="Times New Roman" w:eastAsia="Songti TC" w:hAnsi="Times New Roman"/>
          <w:sz w:val="24"/>
          <w:szCs w:val="24"/>
          <w:lang w:val="en-US" w:eastAsia="zh-CN"/>
        </w:rPr>
        <w:t>）</w:t>
      </w:r>
      <w:r w:rsidRPr="006A3596">
        <w:rPr>
          <w:rStyle w:val="Funotenzeichen"/>
          <w:rFonts w:ascii="Times New Roman" w:eastAsia="Songti TC" w:hAnsi="Times New Roman"/>
          <w:sz w:val="24"/>
          <w:szCs w:val="24"/>
          <w:lang w:val="en-US" w:eastAsia="zh-CN"/>
        </w:rPr>
        <w:footnoteReference w:id="7"/>
      </w:r>
      <w:r w:rsidRPr="006A3596">
        <w:rPr>
          <w:rFonts w:ascii="Times New Roman" w:eastAsia="Songti TC" w:hAnsi="Times New Roman"/>
          <w:sz w:val="24"/>
          <w:szCs w:val="24"/>
          <w:lang w:val="en-US" w:eastAsia="zh-CN"/>
        </w:rPr>
        <w:t>。汉语动词的主动与受动亦有兼于一词者，比如《周易》既有</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shd w:val="clear" w:color="auto" w:fill="FFFFFF"/>
        </w:rPr>
        <w:t>拘系之</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的</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拘</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、也有</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文王拘</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的</w:t>
      </w:r>
      <w:r w:rsidRPr="006A3596">
        <w:rPr>
          <w:rFonts w:ascii="Times New Roman" w:eastAsia="Songti TC" w:hAnsi="Times New Roman"/>
          <w:sz w:val="24"/>
          <w:szCs w:val="24"/>
          <w:lang w:val="en-US" w:eastAsia="zh-CN"/>
        </w:rPr>
        <w:t>“</w:t>
      </w:r>
      <w:proofErr w:type="spellStart"/>
      <w:r w:rsidRPr="006A3596">
        <w:rPr>
          <w:rFonts w:ascii="Times New Roman" w:eastAsia="Songti TC" w:hAnsi="Times New Roman"/>
          <w:sz w:val="24"/>
          <w:szCs w:val="24"/>
          <w:lang w:val="en-US" w:eastAsia="zh-CN"/>
        </w:rPr>
        <w:t>被拘</w:t>
      </w:r>
      <w:proofErr w:type="spellEnd"/>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；但是</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赠</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馈</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贻</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等等与</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礼物</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相关的概念，并无</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被赠</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之义</w:t>
      </w:r>
      <w:r w:rsidRPr="006A3596">
        <w:rPr>
          <w:rStyle w:val="Funotenzeichen"/>
          <w:rFonts w:ascii="Times New Roman" w:eastAsia="Songti TC" w:hAnsi="Times New Roman"/>
          <w:sz w:val="24"/>
          <w:szCs w:val="24"/>
          <w:lang w:val="en-US" w:eastAsia="zh-CN"/>
        </w:rPr>
        <w:footnoteReference w:id="8"/>
      </w:r>
      <w:r w:rsidRPr="006A3596">
        <w:rPr>
          <w:rFonts w:ascii="Times New Roman" w:eastAsia="Songti TC" w:hAnsi="Times New Roman"/>
          <w:sz w:val="24"/>
          <w:szCs w:val="24"/>
          <w:lang w:val="en-US" w:eastAsia="zh-CN"/>
        </w:rPr>
        <w:t>。正如汉语同样有</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礼尚往来</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之说，其中的基本逻辑却在于</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交互</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reciprocity</w:t>
      </w:r>
      <w:r w:rsidRPr="006A3596">
        <w:rPr>
          <w:rFonts w:ascii="Times New Roman" w:eastAsia="Songti TC" w:hAnsi="Times New Roman"/>
          <w:sz w:val="24"/>
          <w:szCs w:val="24"/>
          <w:lang w:val="en-US" w:eastAsia="zh-CN"/>
        </w:rPr>
        <w:t>），而不是</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被给予</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；即使</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神佑</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在民间信仰中被视为</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回礼</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counter gift</w:t>
      </w:r>
      <w:r w:rsidRPr="006A3596">
        <w:rPr>
          <w:rFonts w:ascii="Times New Roman" w:eastAsia="Songti TC" w:hAnsi="Times New Roman"/>
          <w:sz w:val="24"/>
          <w:szCs w:val="24"/>
          <w:lang w:val="en-US" w:eastAsia="zh-CN"/>
        </w:rPr>
        <w:t>），也当与基督教意义上的</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重价的恩典</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截然不同。这可能使</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礼物</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在现代语境中的中西对解特别值得玩味。</w:t>
      </w:r>
    </w:p>
    <w:p w14:paraId="68E9A7AB" w14:textId="77777777" w:rsidR="00A06B54" w:rsidRPr="006A3596" w:rsidRDefault="00A06B54" w:rsidP="006A3596">
      <w:pPr>
        <w:pStyle w:val="NurText"/>
        <w:tabs>
          <w:tab w:val="left" w:pos="5860"/>
        </w:tabs>
        <w:spacing w:before="120" w:after="120"/>
        <w:ind w:firstLine="488"/>
        <w:contextualSpacing/>
        <w:rPr>
          <w:rFonts w:ascii="Times New Roman" w:eastAsia="Songti TC" w:hAnsi="Times New Roman"/>
          <w:sz w:val="24"/>
          <w:szCs w:val="24"/>
          <w:lang w:val="en-US" w:eastAsia="zh-CN"/>
        </w:rPr>
      </w:pPr>
      <w:r w:rsidRPr="006A3596">
        <w:rPr>
          <w:rFonts w:ascii="Times New Roman" w:eastAsia="Songti TC" w:hAnsi="Times New Roman"/>
          <w:sz w:val="24"/>
          <w:szCs w:val="24"/>
          <w:lang w:val="en-US" w:eastAsia="zh-CN"/>
        </w:rPr>
        <w:lastRenderedPageBreak/>
        <w:t>德里达</w:t>
      </w:r>
      <w:r w:rsidRPr="006A3596">
        <w:rPr>
          <w:rFonts w:ascii="Times New Roman" w:eastAsia="Songti TC" w:hAnsi="Times New Roman"/>
          <w:i/>
          <w:iCs/>
          <w:sz w:val="24"/>
          <w:szCs w:val="24"/>
          <w:lang w:val="en-US" w:eastAsia="zh-CN"/>
        </w:rPr>
        <w:t>The Gift to Death</w:t>
      </w:r>
      <w:r w:rsidRPr="006A3596">
        <w:rPr>
          <w:rFonts w:ascii="Times New Roman" w:eastAsia="Songti TC" w:hAnsi="Times New Roman"/>
          <w:sz w:val="24"/>
          <w:szCs w:val="24"/>
          <w:lang w:val="en-US" w:eastAsia="zh-CN"/>
        </w:rPr>
        <w:t>一书可以提供释例。该书的法文题目</w:t>
      </w:r>
      <w:r w:rsidRPr="006A3596">
        <w:rPr>
          <w:rFonts w:ascii="Times New Roman" w:eastAsia="Songti TC" w:hAnsi="Times New Roman"/>
          <w:i/>
          <w:sz w:val="24"/>
          <w:szCs w:val="24"/>
          <w:lang w:val="en-US" w:eastAsia="zh-CN"/>
        </w:rPr>
        <w:t>Donner la mort</w:t>
      </w:r>
      <w:r w:rsidRPr="006A3596">
        <w:rPr>
          <w:rFonts w:ascii="Times New Roman" w:eastAsia="Songti TC" w:hAnsi="Times New Roman"/>
          <w:sz w:val="24"/>
          <w:szCs w:val="24"/>
          <w:lang w:val="en-US" w:eastAsia="zh-CN"/>
        </w:rPr>
        <w:t>本来</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是利用</w:t>
      </w:r>
      <w:r w:rsidRPr="006A3596">
        <w:rPr>
          <w:rFonts w:ascii="Times New Roman" w:eastAsia="Songti TC" w:hAnsi="Times New Roman"/>
          <w:i/>
          <w:sz w:val="24"/>
          <w:szCs w:val="24"/>
          <w:lang w:val="en-US" w:eastAsia="zh-CN"/>
        </w:rPr>
        <w:t>donner</w:t>
      </w:r>
      <w:r w:rsidRPr="006A3596">
        <w:rPr>
          <w:rFonts w:ascii="Times New Roman" w:eastAsia="Songti TC" w:hAnsi="Times New Roman"/>
          <w:sz w:val="24"/>
          <w:szCs w:val="24"/>
          <w:lang w:val="en-US" w:eastAsia="zh-CN"/>
        </w:rPr>
        <w:t>一词的双关，即日常意义的</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给予</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和习语意义的</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处死</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或</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自杀</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 xml:space="preserve">plays on the ordinary sense of </w:t>
      </w:r>
      <w:r w:rsidRPr="006A3596">
        <w:rPr>
          <w:rFonts w:ascii="Times New Roman" w:eastAsia="Songti TC" w:hAnsi="Times New Roman"/>
          <w:i/>
          <w:sz w:val="24"/>
          <w:szCs w:val="24"/>
          <w:lang w:val="en-US" w:eastAsia="zh-CN"/>
        </w:rPr>
        <w:t>donner</w:t>
      </w:r>
      <w:r w:rsidRPr="006A3596">
        <w:rPr>
          <w:rFonts w:ascii="Times New Roman" w:eastAsia="Songti TC" w:hAnsi="Times New Roman"/>
          <w:sz w:val="24"/>
          <w:szCs w:val="24"/>
          <w:lang w:val="en-US" w:eastAsia="zh-CN"/>
        </w:rPr>
        <w:t>, meaning “to give”, and the idiomatic sense of this expression, which is “to put to death”, … “to commit suicide”</w:t>
      </w:r>
      <w:r w:rsidRPr="006A3596">
        <w:rPr>
          <w:rFonts w:ascii="Times New Roman" w:eastAsia="Songti TC" w:hAnsi="Times New Roman"/>
          <w:sz w:val="24"/>
          <w:szCs w:val="24"/>
          <w:lang w:val="en-US" w:eastAsia="zh-CN"/>
        </w:rPr>
        <w:t>）；也就是说，</w:t>
      </w:r>
      <w:r w:rsidRPr="006A3596">
        <w:rPr>
          <w:rFonts w:ascii="Times New Roman" w:eastAsia="Songti TC" w:hAnsi="Times New Roman"/>
          <w:sz w:val="24"/>
          <w:szCs w:val="24"/>
          <w:lang w:val="en-US" w:eastAsia="zh-CN"/>
        </w:rPr>
        <w:t>Donner</w:t>
      </w:r>
      <w:r w:rsidRPr="006A3596">
        <w:rPr>
          <w:rFonts w:ascii="Times New Roman" w:eastAsia="Songti TC" w:hAnsi="Times New Roman"/>
          <w:sz w:val="24"/>
          <w:szCs w:val="24"/>
          <w:lang w:val="en-US" w:eastAsia="zh-CN"/>
        </w:rPr>
        <w:t>一词本身不仅是</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给予</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，也包含了</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死亡</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；这不仅对于汉语是完全陌生的，在英语中也同样需要解释。因此英译者专门说明：</w:t>
      </w:r>
      <w:r w:rsidRPr="006A3596">
        <w:rPr>
          <w:rFonts w:ascii="Times New Roman" w:eastAsia="Songti TC" w:hAnsi="Times New Roman"/>
          <w:sz w:val="24"/>
          <w:szCs w:val="24"/>
          <w:lang w:val="en-US" w:eastAsia="zh-CN"/>
        </w:rPr>
        <w:t>In the text I have tried to follow the idea of “giving” or “granting” wherever possible but I have used “to put to death” when comprehensibility so demands. … Whenever “to put to death” is used, however, the reader should also hear the sense of “giving”.</w:t>
      </w:r>
      <w:r w:rsidRPr="006A3596">
        <w:rPr>
          <w:rStyle w:val="Funotenzeichen"/>
          <w:rFonts w:ascii="Times New Roman" w:eastAsia="Songti TC" w:hAnsi="Times New Roman"/>
          <w:sz w:val="24"/>
          <w:szCs w:val="24"/>
          <w:lang w:val="en-US" w:eastAsia="zh-CN"/>
        </w:rPr>
        <w:footnoteReference w:id="9"/>
      </w:r>
      <w:r w:rsidRPr="006A3596">
        <w:rPr>
          <w:rFonts w:ascii="Times New Roman" w:eastAsia="Songti TC" w:hAnsi="Times New Roman"/>
          <w:sz w:val="24"/>
          <w:szCs w:val="24"/>
          <w:lang w:val="en-US" w:eastAsia="zh-CN"/>
        </w:rPr>
        <w:t>（</w:t>
      </w:r>
      <w:proofErr w:type="gramStart"/>
      <w:r w:rsidRPr="006A3596">
        <w:rPr>
          <w:rFonts w:ascii="Times New Roman" w:eastAsia="Songti TC" w:hAnsi="Times New Roman"/>
          <w:sz w:val="24"/>
          <w:szCs w:val="24"/>
          <w:lang w:val="en-US" w:eastAsia="zh-CN"/>
        </w:rPr>
        <w:t>我尽可能遵循</w:t>
      </w:r>
      <w:r w:rsidRPr="006A3596">
        <w:rPr>
          <w:rFonts w:ascii="Times New Roman" w:eastAsia="Songti TC" w:hAnsi="Times New Roman"/>
          <w:sz w:val="24"/>
          <w:szCs w:val="24"/>
          <w:lang w:val="en-US" w:eastAsia="zh-CN"/>
        </w:rPr>
        <w:t>“</w:t>
      </w:r>
      <w:proofErr w:type="gramEnd"/>
      <w:r w:rsidRPr="006A3596">
        <w:rPr>
          <w:rFonts w:ascii="Times New Roman" w:eastAsia="Songti TC" w:hAnsi="Times New Roman"/>
          <w:sz w:val="24"/>
          <w:szCs w:val="24"/>
          <w:lang w:val="en-US" w:eastAsia="zh-CN"/>
        </w:rPr>
        <w:t>给予</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的概念，但有时也因理解的需要使用了</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处死</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然而在使用</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处死</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时，读者应该听到</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给予</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的含义。）由这一意义上的</w:t>
      </w:r>
      <w:r w:rsidRPr="006A3596">
        <w:rPr>
          <w:rFonts w:ascii="Times New Roman" w:eastAsia="Songti TC" w:hAnsi="Times New Roman"/>
          <w:i/>
          <w:sz w:val="24"/>
          <w:szCs w:val="24"/>
          <w:lang w:val="en-US" w:eastAsia="zh-CN"/>
        </w:rPr>
        <w:t>donner</w:t>
      </w:r>
      <w:r w:rsidRPr="006A3596">
        <w:rPr>
          <w:rFonts w:ascii="Times New Roman" w:eastAsia="Songti TC" w:hAnsi="Times New Roman"/>
          <w:sz w:val="24"/>
          <w:szCs w:val="24"/>
          <w:lang w:val="en-US" w:eastAsia="zh-CN"/>
        </w:rPr>
        <w:t>或者</w:t>
      </w:r>
      <w:r w:rsidRPr="006A3596">
        <w:rPr>
          <w:rFonts w:ascii="Times New Roman" w:eastAsia="Songti TC" w:hAnsi="Times New Roman"/>
          <w:sz w:val="24"/>
          <w:szCs w:val="24"/>
          <w:lang w:val="en-US" w:eastAsia="zh-CN"/>
        </w:rPr>
        <w:t>giving</w:t>
      </w:r>
      <w:r w:rsidRPr="006A3596">
        <w:rPr>
          <w:rFonts w:ascii="Times New Roman" w:eastAsia="Songti TC" w:hAnsi="Times New Roman"/>
          <w:sz w:val="24"/>
          <w:szCs w:val="24"/>
          <w:lang w:val="en-US" w:eastAsia="zh-CN"/>
        </w:rPr>
        <w:t>转还汉语的</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馈赠</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乃至</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礼物</w:t>
      </w:r>
      <w:r w:rsidRPr="006A3596">
        <w:rPr>
          <w:rFonts w:ascii="Times New Roman" w:eastAsia="Songti TC" w:hAnsi="Times New Roman"/>
          <w:sz w:val="24"/>
          <w:szCs w:val="24"/>
          <w:lang w:val="en-US" w:eastAsia="zh-CN"/>
        </w:rPr>
        <w:t>”</w:t>
      </w:r>
      <w:r w:rsidRPr="006A3596">
        <w:rPr>
          <w:rFonts w:ascii="Times New Roman" w:eastAsia="Songti TC" w:hAnsi="Times New Roman"/>
          <w:sz w:val="24"/>
          <w:szCs w:val="24"/>
          <w:lang w:val="en-US" w:eastAsia="zh-CN"/>
        </w:rPr>
        <w:t>，还可以参较德里达所热衷的另一话题：</w:t>
      </w:r>
      <w:r w:rsidRPr="006A3596">
        <w:rPr>
          <w:rFonts w:ascii="Times New Roman" w:eastAsia="Songti TC" w:hAnsi="Times New Roman"/>
          <w:i/>
          <w:sz w:val="24"/>
          <w:szCs w:val="24"/>
          <w:lang w:val="en-US" w:eastAsia="zh-CN"/>
        </w:rPr>
        <w:t>Hospitality</w:t>
      </w:r>
      <w:r w:rsidRPr="006A3596">
        <w:rPr>
          <w:rFonts w:ascii="Times New Roman" w:eastAsia="Songti TC" w:hAnsi="Times New Roman"/>
          <w:sz w:val="24"/>
          <w:szCs w:val="24"/>
          <w:lang w:val="en-US" w:eastAsia="zh-CN"/>
        </w:rPr>
        <w:t>。</w:t>
      </w:r>
    </w:p>
    <w:p w14:paraId="66D24673" w14:textId="77777777" w:rsidR="00A06B54" w:rsidRPr="006A3596" w:rsidRDefault="00A06B54" w:rsidP="006A3596">
      <w:pPr>
        <w:spacing w:before="120" w:after="120"/>
        <w:ind w:firstLine="488"/>
        <w:rPr>
          <w:rFonts w:ascii="Times New Roman" w:eastAsia="Songti TC" w:hAnsi="Times New Roman"/>
          <w:sz w:val="24"/>
          <w:szCs w:val="24"/>
        </w:rPr>
      </w:pPr>
      <w:proofErr w:type="spellStart"/>
      <w:r w:rsidRPr="006A3596">
        <w:rPr>
          <w:rFonts w:ascii="Times New Roman" w:eastAsia="Songti TC" w:hAnsi="Times New Roman"/>
          <w:sz w:val="24"/>
          <w:szCs w:val="24"/>
        </w:rPr>
        <w:t>Gerasimos</w:t>
      </w:r>
      <w:proofErr w:type="spellEnd"/>
      <w:r w:rsidRPr="006A3596">
        <w:rPr>
          <w:rFonts w:ascii="Times New Roman" w:eastAsia="Songti TC" w:hAnsi="Times New Roman"/>
          <w:sz w:val="24"/>
          <w:szCs w:val="24"/>
        </w:rPr>
        <w:t xml:space="preserve"> </w:t>
      </w:r>
      <w:proofErr w:type="spellStart"/>
      <w:r w:rsidRPr="006A3596">
        <w:rPr>
          <w:rFonts w:ascii="Times New Roman" w:eastAsia="Songti TC" w:hAnsi="Times New Roman"/>
          <w:sz w:val="24"/>
          <w:szCs w:val="24"/>
        </w:rPr>
        <w:t>Kakoliris</w:t>
      </w:r>
      <w:proofErr w:type="spellEnd"/>
      <w:r w:rsidRPr="006A3596">
        <w:rPr>
          <w:rFonts w:ascii="Times New Roman" w:eastAsia="Songti TC" w:hAnsi="Times New Roman"/>
          <w:sz w:val="24"/>
          <w:szCs w:val="24"/>
        </w:rPr>
        <w:t>的文章</w:t>
      </w:r>
      <w:r w:rsidRPr="006A3596">
        <w:rPr>
          <w:rFonts w:ascii="Times New Roman" w:eastAsia="Songti TC" w:hAnsi="Times New Roman"/>
          <w:sz w:val="24"/>
          <w:szCs w:val="24"/>
        </w:rPr>
        <w:t xml:space="preserve"> “Jacques Derrida on the Ethics of Hospitality”</w:t>
      </w:r>
      <w:r w:rsidRPr="006A3596">
        <w:rPr>
          <w:rFonts w:ascii="Times New Roman" w:eastAsia="Songti TC" w:hAnsi="Times New Roman"/>
          <w:sz w:val="24"/>
          <w:szCs w:val="24"/>
        </w:rPr>
        <w:t>列举了德里达关于</w:t>
      </w:r>
      <w:r w:rsidRPr="006A3596">
        <w:rPr>
          <w:rFonts w:ascii="Times New Roman" w:eastAsia="Songti TC" w:hAnsi="Times New Roman"/>
          <w:sz w:val="24"/>
          <w:szCs w:val="24"/>
        </w:rPr>
        <w:t>hospitality</w:t>
      </w:r>
      <w:r w:rsidRPr="006A3596">
        <w:rPr>
          <w:rFonts w:ascii="Times New Roman" w:eastAsia="Songti TC" w:hAnsi="Times New Roman"/>
          <w:sz w:val="24"/>
          <w:szCs w:val="24"/>
        </w:rPr>
        <w:t>的一系列讨论：</w:t>
      </w:r>
      <w:r w:rsidRPr="006A3596">
        <w:rPr>
          <w:rFonts w:ascii="Times New Roman" w:eastAsia="Songti TC" w:hAnsi="Times New Roman"/>
          <w:sz w:val="24"/>
          <w:szCs w:val="24"/>
        </w:rPr>
        <w:t>“</w:t>
      </w:r>
      <w:r w:rsidRPr="006A3596">
        <w:rPr>
          <w:rFonts w:ascii="Times New Roman" w:eastAsia="Songti TC" w:hAnsi="Times New Roman"/>
          <w:sz w:val="24"/>
          <w:szCs w:val="24"/>
        </w:rPr>
        <w:t>在德里达看来，</w:t>
      </w:r>
      <w:r w:rsidRPr="006A3596">
        <w:rPr>
          <w:rFonts w:ascii="Times New Roman" w:eastAsia="Songti TC" w:hAnsi="Times New Roman"/>
          <w:sz w:val="24"/>
          <w:szCs w:val="24"/>
        </w:rPr>
        <w:t>hospitality</w:t>
      </w:r>
      <w:r w:rsidRPr="006A3596">
        <w:rPr>
          <w:rFonts w:ascii="Times New Roman" w:eastAsia="Songti TC" w:hAnsi="Times New Roman"/>
          <w:sz w:val="24"/>
          <w:szCs w:val="24"/>
        </w:rPr>
        <w:t>的逻辑是由一个绝对的矛盾或悖论所支配的</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Fonts w:ascii="Times New Roman" w:eastAsia="Songti TC" w:hAnsi="Times New Roman"/>
          <w:sz w:val="24"/>
          <w:szCs w:val="24"/>
        </w:rPr>
        <w:t>For Derrida, the logic of the concept of hospitality is governed by an absolute antinomy or aporia</w:t>
      </w:r>
      <w:r w:rsidRPr="006A3596">
        <w:rPr>
          <w:rFonts w:ascii="Times New Roman" w:eastAsia="Songti TC" w:hAnsi="Times New Roman"/>
          <w:sz w:val="24"/>
          <w:szCs w:val="24"/>
        </w:rPr>
        <w:t>）</w:t>
      </w:r>
      <w:r w:rsidRPr="006A3596">
        <w:rPr>
          <w:rFonts w:ascii="Times New Roman" w:eastAsia="Songti TC" w:hAnsi="Times New Roman"/>
          <w:sz w:val="24"/>
          <w:szCs w:val="24"/>
        </w:rPr>
        <w:t>: On the one hand, there is the law of unlimited hospitality. On the other hand, there are the conditional laws of hospitality</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Fonts w:ascii="Times New Roman" w:eastAsia="Songti TC" w:hAnsi="Times New Roman"/>
          <w:sz w:val="24"/>
          <w:szCs w:val="24"/>
        </w:rPr>
        <w:t>构成责任的行为和决定就是这两种异质要求之间的不断协商</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Fonts w:ascii="Times New Roman" w:eastAsia="Songti TC" w:hAnsi="Times New Roman"/>
          <w:sz w:val="24"/>
          <w:szCs w:val="24"/>
        </w:rPr>
        <w:t>the responsible action and decision consists of the need to continuously negotiate between these two heterogeneous requirements</w:t>
      </w:r>
      <w:r w:rsidRPr="006A3596">
        <w:rPr>
          <w:rFonts w:ascii="Times New Roman" w:eastAsia="Songti TC" w:hAnsi="Times New Roman"/>
          <w:sz w:val="24"/>
          <w:szCs w:val="24"/>
        </w:rPr>
        <w:t>）。</w:t>
      </w:r>
      <w:r w:rsidRPr="006A3596">
        <w:rPr>
          <w:rStyle w:val="Funotenzeichen"/>
          <w:rFonts w:ascii="Times New Roman" w:eastAsia="Songti TC" w:hAnsi="Times New Roman"/>
          <w:sz w:val="24"/>
          <w:szCs w:val="24"/>
        </w:rPr>
        <w:footnoteReference w:id="10"/>
      </w:r>
      <w:r w:rsidRPr="006A3596">
        <w:rPr>
          <w:rFonts w:ascii="Times New Roman" w:eastAsia="Songti TC" w:hAnsi="Times New Roman"/>
          <w:sz w:val="24"/>
          <w:szCs w:val="24"/>
        </w:rPr>
        <w:t>质而言之，</w:t>
      </w:r>
      <w:r w:rsidRPr="006A3596">
        <w:rPr>
          <w:rFonts w:ascii="Times New Roman" w:eastAsia="Songti TC" w:hAnsi="Times New Roman"/>
          <w:i/>
          <w:iCs/>
          <w:sz w:val="24"/>
          <w:szCs w:val="24"/>
        </w:rPr>
        <w:t>the </w:t>
      </w:r>
      <w:r w:rsidRPr="006A3596">
        <w:rPr>
          <w:rFonts w:ascii="Times New Roman" w:eastAsia="Songti TC" w:hAnsi="Times New Roman"/>
          <w:sz w:val="24"/>
          <w:szCs w:val="24"/>
        </w:rPr>
        <w:t xml:space="preserve">law of unlimited hospitality </w:t>
      </w:r>
      <w:r w:rsidRPr="006A3596">
        <w:rPr>
          <w:rFonts w:ascii="Times New Roman" w:eastAsia="Songti TC" w:hAnsi="Times New Roman"/>
          <w:sz w:val="24"/>
          <w:szCs w:val="24"/>
        </w:rPr>
        <w:t>或者</w:t>
      </w:r>
      <w:r w:rsidRPr="006A3596">
        <w:rPr>
          <w:rFonts w:ascii="Times New Roman" w:eastAsia="Songti TC" w:hAnsi="Times New Roman"/>
          <w:sz w:val="24"/>
          <w:szCs w:val="24"/>
        </w:rPr>
        <w:t>unconditional hospitality</w:t>
      </w:r>
      <w:r w:rsidRPr="006A3596">
        <w:rPr>
          <w:rFonts w:ascii="Times New Roman" w:eastAsia="Songti TC" w:hAnsi="Times New Roman"/>
          <w:sz w:val="24"/>
          <w:szCs w:val="24"/>
        </w:rPr>
        <w:t>实际上无法施行，我们所能承担的</w:t>
      </w:r>
      <w:r w:rsidRPr="006A3596">
        <w:rPr>
          <w:rFonts w:ascii="Times New Roman" w:eastAsia="Songti TC" w:hAnsi="Times New Roman"/>
          <w:sz w:val="24"/>
          <w:szCs w:val="24"/>
        </w:rPr>
        <w:t>“</w:t>
      </w:r>
      <w:r w:rsidRPr="006A3596">
        <w:rPr>
          <w:rFonts w:ascii="Times New Roman" w:eastAsia="Songti TC" w:hAnsi="Times New Roman"/>
          <w:sz w:val="24"/>
          <w:szCs w:val="24"/>
        </w:rPr>
        <w:t>责任</w:t>
      </w:r>
      <w:r w:rsidRPr="006A3596">
        <w:rPr>
          <w:rFonts w:ascii="Times New Roman" w:eastAsia="Songti TC" w:hAnsi="Times New Roman"/>
          <w:sz w:val="24"/>
          <w:szCs w:val="24"/>
        </w:rPr>
        <w:t>”</w:t>
      </w:r>
      <w:r w:rsidRPr="006A3596">
        <w:rPr>
          <w:rFonts w:ascii="Times New Roman" w:eastAsia="Songti TC" w:hAnsi="Times New Roman"/>
          <w:sz w:val="24"/>
          <w:szCs w:val="24"/>
        </w:rPr>
        <w:t>不过是一种</w:t>
      </w:r>
      <w:r w:rsidRPr="006A3596">
        <w:rPr>
          <w:rFonts w:ascii="Times New Roman" w:eastAsia="Songti TC" w:hAnsi="Times New Roman"/>
          <w:sz w:val="24"/>
          <w:szCs w:val="24"/>
        </w:rPr>
        <w:t>“</w:t>
      </w:r>
      <w:r w:rsidRPr="006A3596">
        <w:rPr>
          <w:rFonts w:ascii="Times New Roman" w:eastAsia="Songti TC" w:hAnsi="Times New Roman"/>
          <w:sz w:val="24"/>
          <w:szCs w:val="24"/>
        </w:rPr>
        <w:t>构成责任的回应</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Fonts w:ascii="Times New Roman" w:eastAsia="Songti TC" w:hAnsi="Times New Roman"/>
          <w:sz w:val="24"/>
          <w:szCs w:val="24"/>
        </w:rPr>
        <w:t>responsible responses</w:t>
      </w:r>
      <w:r w:rsidRPr="006A3596">
        <w:rPr>
          <w:rFonts w:ascii="Times New Roman" w:eastAsia="Songti TC" w:hAnsi="Times New Roman"/>
          <w:sz w:val="24"/>
          <w:szCs w:val="24"/>
        </w:rPr>
        <w:t>）；于是</w:t>
      </w:r>
      <w:r w:rsidRPr="006A3596">
        <w:rPr>
          <w:rFonts w:ascii="Times New Roman" w:eastAsia="Songti TC" w:hAnsi="Times New Roman"/>
          <w:sz w:val="24"/>
          <w:szCs w:val="24"/>
        </w:rPr>
        <w:t>it is given</w:t>
      </w:r>
      <w:r w:rsidRPr="006A3596">
        <w:rPr>
          <w:rFonts w:ascii="Times New Roman" w:eastAsia="Songti TC" w:hAnsi="Times New Roman"/>
          <w:sz w:val="24"/>
          <w:szCs w:val="24"/>
        </w:rPr>
        <w:t>的逻辑同</w:t>
      </w:r>
      <w:r w:rsidRPr="006A3596">
        <w:rPr>
          <w:rFonts w:ascii="Times New Roman" w:eastAsia="Songti TC" w:hAnsi="Times New Roman"/>
          <w:sz w:val="24"/>
          <w:szCs w:val="24"/>
        </w:rPr>
        <w:lastRenderedPageBreak/>
        <w:t>样显现其间，有如作为</w:t>
      </w:r>
      <w:r w:rsidRPr="006A3596">
        <w:rPr>
          <w:rFonts w:ascii="Times New Roman" w:eastAsia="Songti TC" w:hAnsi="Times New Roman"/>
          <w:sz w:val="24"/>
          <w:szCs w:val="24"/>
        </w:rPr>
        <w:t>“</w:t>
      </w:r>
      <w:r w:rsidRPr="006A3596">
        <w:rPr>
          <w:rFonts w:ascii="Times New Roman" w:eastAsia="Songti TC" w:hAnsi="Times New Roman"/>
          <w:sz w:val="24"/>
          <w:szCs w:val="24"/>
        </w:rPr>
        <w:t>时间</w:t>
      </w:r>
      <w:r w:rsidRPr="006A3596">
        <w:rPr>
          <w:rFonts w:ascii="Times New Roman" w:eastAsia="Songti TC" w:hAnsi="Times New Roman"/>
          <w:sz w:val="24"/>
          <w:szCs w:val="24"/>
        </w:rPr>
        <w:t>”</w:t>
      </w:r>
      <w:r w:rsidRPr="006A3596">
        <w:rPr>
          <w:rFonts w:ascii="Times New Roman" w:eastAsia="Songti TC" w:hAnsi="Times New Roman"/>
          <w:sz w:val="24"/>
          <w:szCs w:val="24"/>
        </w:rPr>
        <w:t>的</w:t>
      </w:r>
      <w:r w:rsidRPr="006A3596">
        <w:rPr>
          <w:rFonts w:ascii="Times New Roman" w:eastAsia="Songti TC" w:hAnsi="Times New Roman"/>
          <w:sz w:val="24"/>
          <w:szCs w:val="24"/>
        </w:rPr>
        <w:t>“</w:t>
      </w:r>
      <w:r w:rsidRPr="006A3596">
        <w:rPr>
          <w:rFonts w:ascii="Times New Roman" w:eastAsia="Songti TC" w:hAnsi="Times New Roman"/>
          <w:sz w:val="24"/>
          <w:szCs w:val="24"/>
        </w:rPr>
        <w:t>赠予</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Fonts w:ascii="Times New Roman" w:eastAsia="Songti TC" w:hAnsi="Times New Roman"/>
          <w:sz w:val="24"/>
          <w:szCs w:val="24"/>
        </w:rPr>
        <w:t>present</w:t>
      </w:r>
      <w:r w:rsidRPr="006A3596">
        <w:rPr>
          <w:rFonts w:ascii="Times New Roman" w:eastAsia="Songti TC" w:hAnsi="Times New Roman"/>
          <w:sz w:val="24"/>
          <w:szCs w:val="24"/>
        </w:rPr>
        <w:t>）、或者表达</w:t>
      </w:r>
      <w:r w:rsidRPr="006A3596">
        <w:rPr>
          <w:rFonts w:ascii="Times New Roman" w:eastAsia="Songti TC" w:hAnsi="Times New Roman"/>
          <w:sz w:val="24"/>
          <w:szCs w:val="24"/>
        </w:rPr>
        <w:t>Being</w:t>
      </w:r>
      <w:r w:rsidRPr="006A3596">
        <w:rPr>
          <w:rFonts w:ascii="Times New Roman" w:eastAsia="Songti TC" w:hAnsi="Times New Roman"/>
          <w:sz w:val="24"/>
          <w:szCs w:val="24"/>
        </w:rPr>
        <w:t>的</w:t>
      </w:r>
      <w:r w:rsidRPr="006A3596">
        <w:rPr>
          <w:rFonts w:ascii="Times New Roman" w:eastAsia="Songti TC" w:hAnsi="Times New Roman"/>
          <w:sz w:val="24"/>
          <w:szCs w:val="24"/>
        </w:rPr>
        <w:t>verb to be</w:t>
      </w:r>
      <w:r w:rsidRPr="006A3596">
        <w:rPr>
          <w:rFonts w:ascii="Times New Roman" w:eastAsia="Songti TC" w:hAnsi="Times New Roman"/>
          <w:sz w:val="24"/>
          <w:szCs w:val="24"/>
        </w:rPr>
        <w:t>。</w:t>
      </w:r>
    </w:p>
    <w:p w14:paraId="2BE5A93B" w14:textId="77777777" w:rsidR="00A06B54" w:rsidRPr="006A3596" w:rsidRDefault="00A06B54" w:rsidP="006A3596">
      <w:pPr>
        <w:spacing w:before="120" w:after="120"/>
        <w:ind w:firstLine="488"/>
        <w:rPr>
          <w:rFonts w:ascii="Times New Roman" w:eastAsia="Songti TC" w:hAnsi="Times New Roman"/>
          <w:sz w:val="24"/>
          <w:szCs w:val="24"/>
        </w:rPr>
      </w:pPr>
      <w:r w:rsidRPr="006A3596">
        <w:rPr>
          <w:rFonts w:ascii="Times New Roman" w:eastAsia="Songti TC" w:hAnsi="Times New Roman"/>
          <w:sz w:val="24"/>
          <w:szCs w:val="24"/>
        </w:rPr>
        <w:t>无论</w:t>
      </w:r>
      <w:r w:rsidRPr="006A3596">
        <w:rPr>
          <w:rFonts w:ascii="Times New Roman" w:eastAsia="Songti TC" w:hAnsi="Times New Roman"/>
          <w:sz w:val="24"/>
          <w:szCs w:val="24"/>
        </w:rPr>
        <w:t>“</w:t>
      </w:r>
      <w:r w:rsidRPr="006A3596">
        <w:rPr>
          <w:rFonts w:ascii="Times New Roman" w:eastAsia="Songti TC" w:hAnsi="Times New Roman"/>
          <w:sz w:val="24"/>
          <w:szCs w:val="24"/>
        </w:rPr>
        <w:t>好客</w:t>
      </w:r>
      <w:r w:rsidRPr="006A3596">
        <w:rPr>
          <w:rFonts w:ascii="Times New Roman" w:eastAsia="Songti TC" w:hAnsi="Times New Roman"/>
          <w:sz w:val="24"/>
          <w:szCs w:val="24"/>
        </w:rPr>
        <w:t>”</w:t>
      </w:r>
      <w:r w:rsidRPr="006A3596">
        <w:rPr>
          <w:rFonts w:ascii="Times New Roman" w:eastAsia="Songti TC" w:hAnsi="Times New Roman"/>
          <w:sz w:val="24"/>
          <w:szCs w:val="24"/>
        </w:rPr>
        <w:t>还是</w:t>
      </w:r>
      <w:r w:rsidRPr="006A3596">
        <w:rPr>
          <w:rFonts w:ascii="Times New Roman" w:eastAsia="Songti TC" w:hAnsi="Times New Roman"/>
          <w:sz w:val="24"/>
          <w:szCs w:val="24"/>
        </w:rPr>
        <w:t>“</w:t>
      </w:r>
      <w:r w:rsidRPr="006A3596">
        <w:rPr>
          <w:rFonts w:ascii="Times New Roman" w:eastAsia="Songti TC" w:hAnsi="Times New Roman"/>
          <w:sz w:val="24"/>
          <w:szCs w:val="24"/>
        </w:rPr>
        <w:t>待客之道</w:t>
      </w:r>
      <w:r w:rsidRPr="006A3596">
        <w:rPr>
          <w:rFonts w:ascii="Times New Roman" w:eastAsia="Songti TC" w:hAnsi="Times New Roman"/>
          <w:sz w:val="24"/>
          <w:szCs w:val="24"/>
        </w:rPr>
        <w:t>”</w:t>
      </w:r>
      <w:r w:rsidRPr="006A3596">
        <w:rPr>
          <w:rFonts w:ascii="Times New Roman" w:eastAsia="Songti TC" w:hAnsi="Times New Roman"/>
          <w:sz w:val="24"/>
          <w:szCs w:val="24"/>
        </w:rPr>
        <w:t>，汉语对</w:t>
      </w:r>
      <w:r w:rsidRPr="006A3596">
        <w:rPr>
          <w:rFonts w:ascii="Times New Roman" w:eastAsia="Songti TC" w:hAnsi="Times New Roman"/>
          <w:sz w:val="24"/>
          <w:szCs w:val="24"/>
        </w:rPr>
        <w:t>hospitality</w:t>
      </w:r>
      <w:r w:rsidRPr="006A3596">
        <w:rPr>
          <w:rFonts w:ascii="Times New Roman" w:eastAsia="Songti TC" w:hAnsi="Times New Roman"/>
          <w:sz w:val="24"/>
          <w:szCs w:val="24"/>
        </w:rPr>
        <w:t>的字面翻译常常被误导到</w:t>
      </w:r>
      <w:r w:rsidRPr="006A3596">
        <w:rPr>
          <w:rFonts w:ascii="Times New Roman" w:eastAsia="Songti TC" w:hAnsi="Times New Roman"/>
          <w:sz w:val="24"/>
          <w:szCs w:val="24"/>
        </w:rPr>
        <w:t>“</w:t>
      </w:r>
      <w:r w:rsidRPr="006A3596">
        <w:rPr>
          <w:rFonts w:ascii="Times New Roman" w:eastAsia="Songti TC" w:hAnsi="Times New Roman"/>
          <w:sz w:val="24"/>
          <w:szCs w:val="24"/>
        </w:rPr>
        <w:t>酒店管理</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Fonts w:ascii="Times New Roman" w:eastAsia="Songti TC" w:hAnsi="Times New Roman"/>
          <w:sz w:val="24"/>
          <w:szCs w:val="24"/>
        </w:rPr>
        <w:t>Tourism and Hospitality</w:t>
      </w:r>
      <w:r w:rsidRPr="006A3596">
        <w:rPr>
          <w:rFonts w:ascii="Times New Roman" w:eastAsia="Songti TC" w:hAnsi="Times New Roman"/>
          <w:sz w:val="24"/>
          <w:szCs w:val="24"/>
        </w:rPr>
        <w:t>）、甚至</w:t>
      </w:r>
      <w:r w:rsidRPr="006A3596">
        <w:rPr>
          <w:rFonts w:ascii="Times New Roman" w:eastAsia="Songti TC" w:hAnsi="Times New Roman"/>
          <w:sz w:val="24"/>
          <w:szCs w:val="24"/>
        </w:rPr>
        <w:t>“</w:t>
      </w:r>
      <w:r w:rsidRPr="006A3596">
        <w:rPr>
          <w:rFonts w:ascii="Times New Roman" w:eastAsia="Songti TC" w:hAnsi="Times New Roman"/>
          <w:sz w:val="24"/>
          <w:szCs w:val="24"/>
        </w:rPr>
        <w:t>外事礼仪</w:t>
      </w:r>
      <w:r w:rsidRPr="006A3596">
        <w:rPr>
          <w:rFonts w:ascii="Times New Roman" w:eastAsia="Songti TC" w:hAnsi="Times New Roman"/>
          <w:sz w:val="24"/>
          <w:szCs w:val="24"/>
        </w:rPr>
        <w:t>”</w:t>
      </w:r>
      <w:r w:rsidRPr="006A3596">
        <w:rPr>
          <w:rFonts w:ascii="Times New Roman" w:eastAsia="Songti TC" w:hAnsi="Times New Roman"/>
          <w:sz w:val="24"/>
          <w:szCs w:val="24"/>
        </w:rPr>
        <w:t>。另一种误导，则是随着德里达去揣测亚伯拉罕接待三位客人并得到祝福的故事（《创世记》</w:t>
      </w:r>
      <w:r w:rsidRPr="006A3596">
        <w:rPr>
          <w:rFonts w:ascii="Times New Roman" w:eastAsia="Songti TC" w:hAnsi="Times New Roman"/>
          <w:sz w:val="24"/>
          <w:szCs w:val="24"/>
        </w:rPr>
        <w:t>1:1-15</w:t>
      </w:r>
      <w:r w:rsidRPr="006A3596">
        <w:rPr>
          <w:rFonts w:ascii="Times New Roman" w:eastAsia="Songti TC" w:hAnsi="Times New Roman"/>
          <w:sz w:val="24"/>
          <w:szCs w:val="24"/>
        </w:rPr>
        <w:t>）。德里达的</w:t>
      </w:r>
      <w:r w:rsidRPr="006A3596">
        <w:rPr>
          <w:rFonts w:ascii="Times New Roman" w:eastAsia="Songti TC" w:hAnsi="Times New Roman"/>
          <w:sz w:val="24"/>
          <w:szCs w:val="24"/>
        </w:rPr>
        <w:t>hospitality</w:t>
      </w:r>
      <w:r w:rsidRPr="006A3596">
        <w:rPr>
          <w:rFonts w:ascii="Times New Roman" w:eastAsia="Songti TC" w:hAnsi="Times New Roman"/>
          <w:sz w:val="24"/>
          <w:szCs w:val="24"/>
        </w:rPr>
        <w:t>确实是从亚伯拉罕讲起，《圣经》中尚有多处类似的用法，亦即中译本的</w:t>
      </w:r>
      <w:r w:rsidRPr="006A3596">
        <w:rPr>
          <w:rFonts w:ascii="Times New Roman" w:eastAsia="Songti TC" w:hAnsi="Times New Roman"/>
          <w:sz w:val="24"/>
          <w:szCs w:val="24"/>
        </w:rPr>
        <w:t>“</w:t>
      </w:r>
      <w:r w:rsidRPr="006A3596">
        <w:rPr>
          <w:rFonts w:ascii="Times New Roman" w:eastAsia="Songti TC" w:hAnsi="Times New Roman"/>
          <w:sz w:val="24"/>
          <w:szCs w:val="24"/>
        </w:rPr>
        <w:t>款待</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Fonts w:ascii="Times New Roman" w:eastAsia="Songti TC" w:hAnsi="Times New Roman"/>
          <w:sz w:val="24"/>
          <w:szCs w:val="24"/>
        </w:rPr>
        <w:t>showed us generous hospitality</w:t>
      </w:r>
      <w:r w:rsidRPr="006A3596">
        <w:rPr>
          <w:rFonts w:ascii="Times New Roman" w:eastAsia="Songti TC" w:hAnsi="Times New Roman"/>
          <w:sz w:val="24"/>
          <w:szCs w:val="24"/>
        </w:rPr>
        <w:t>《使徒行传》</w:t>
      </w:r>
      <w:r w:rsidRPr="006A3596">
        <w:rPr>
          <w:rFonts w:ascii="Times New Roman" w:eastAsia="Songti TC" w:hAnsi="Times New Roman"/>
          <w:sz w:val="24"/>
          <w:szCs w:val="24"/>
        </w:rPr>
        <w:t>28:7</w:t>
      </w:r>
      <w:r w:rsidRPr="006A3596">
        <w:rPr>
          <w:rFonts w:ascii="Times New Roman" w:eastAsia="Songti TC" w:hAnsi="Times New Roman"/>
          <w:sz w:val="24"/>
          <w:szCs w:val="24"/>
        </w:rPr>
        <w:t>；</w:t>
      </w:r>
      <w:r w:rsidRPr="006A3596">
        <w:rPr>
          <w:rFonts w:ascii="Times New Roman" w:eastAsia="Songti TC" w:hAnsi="Times New Roman"/>
          <w:sz w:val="24"/>
          <w:szCs w:val="24"/>
        </w:rPr>
        <w:t>practice hospitality</w:t>
      </w:r>
      <w:r w:rsidRPr="006A3596">
        <w:rPr>
          <w:rFonts w:ascii="Times New Roman" w:eastAsia="Songti TC" w:hAnsi="Times New Roman"/>
          <w:sz w:val="24"/>
          <w:szCs w:val="24"/>
        </w:rPr>
        <w:t>《罗马书》</w:t>
      </w:r>
      <w:r w:rsidRPr="006A3596">
        <w:rPr>
          <w:rFonts w:ascii="Times New Roman" w:eastAsia="Songti TC" w:hAnsi="Times New Roman"/>
          <w:sz w:val="24"/>
          <w:szCs w:val="24"/>
        </w:rPr>
        <w:t>12:13</w:t>
      </w:r>
      <w:r w:rsidRPr="006A3596">
        <w:rPr>
          <w:rFonts w:ascii="Times New Roman" w:eastAsia="Songti TC" w:hAnsi="Times New Roman"/>
          <w:sz w:val="24"/>
          <w:szCs w:val="24"/>
        </w:rPr>
        <w:t>）或者</w:t>
      </w:r>
      <w:r w:rsidRPr="006A3596">
        <w:rPr>
          <w:rFonts w:ascii="Times New Roman" w:eastAsia="Songti TC" w:hAnsi="Times New Roman"/>
          <w:sz w:val="24"/>
          <w:szCs w:val="24"/>
        </w:rPr>
        <w:t>“</w:t>
      </w:r>
      <w:r w:rsidRPr="006A3596">
        <w:rPr>
          <w:rFonts w:ascii="Times New Roman" w:eastAsia="Songti TC" w:hAnsi="Times New Roman"/>
          <w:sz w:val="24"/>
          <w:szCs w:val="24"/>
        </w:rPr>
        <w:t>接待远人</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Fonts w:ascii="Times New Roman" w:eastAsia="Songti TC" w:hAnsi="Times New Roman"/>
          <w:sz w:val="24"/>
          <w:szCs w:val="24"/>
        </w:rPr>
        <w:t>showing hospitality</w:t>
      </w:r>
      <w:r w:rsidRPr="006A3596">
        <w:rPr>
          <w:rFonts w:ascii="Times New Roman" w:eastAsia="Songti TC" w:hAnsi="Times New Roman"/>
          <w:sz w:val="24"/>
          <w:szCs w:val="24"/>
        </w:rPr>
        <w:t>《提摩太前书》</w:t>
      </w:r>
      <w:r w:rsidRPr="006A3596">
        <w:rPr>
          <w:rFonts w:ascii="Times New Roman" w:eastAsia="Songti TC" w:hAnsi="Times New Roman"/>
          <w:sz w:val="24"/>
          <w:szCs w:val="24"/>
        </w:rPr>
        <w:t>5:10</w:t>
      </w:r>
      <w:r w:rsidRPr="006A3596">
        <w:rPr>
          <w:rFonts w:ascii="Times New Roman" w:eastAsia="Songti TC" w:hAnsi="Times New Roman"/>
          <w:sz w:val="24"/>
          <w:szCs w:val="24"/>
        </w:rPr>
        <w:t>，《提多书》</w:t>
      </w:r>
      <w:r w:rsidRPr="006A3596">
        <w:rPr>
          <w:rFonts w:ascii="Times New Roman" w:eastAsia="Songti TC" w:hAnsi="Times New Roman"/>
          <w:sz w:val="24"/>
          <w:szCs w:val="24"/>
        </w:rPr>
        <w:t>1:8</w:t>
      </w:r>
      <w:r w:rsidRPr="006A3596">
        <w:rPr>
          <w:rFonts w:ascii="Times New Roman" w:eastAsia="Songti TC" w:hAnsi="Times New Roman"/>
          <w:sz w:val="24"/>
          <w:szCs w:val="24"/>
        </w:rPr>
        <w:t>）。然而无论归之于中国的</w:t>
      </w:r>
      <w:r w:rsidRPr="006A3596">
        <w:rPr>
          <w:rFonts w:ascii="Times New Roman" w:eastAsia="Songti TC" w:hAnsi="Times New Roman"/>
          <w:sz w:val="24"/>
          <w:szCs w:val="24"/>
        </w:rPr>
        <w:t>“</w:t>
      </w:r>
      <w:r w:rsidRPr="006A3596">
        <w:rPr>
          <w:rFonts w:ascii="Times New Roman" w:eastAsia="Songti TC" w:hAnsi="Times New Roman"/>
          <w:sz w:val="24"/>
          <w:szCs w:val="24"/>
        </w:rPr>
        <w:t>礼仪</w:t>
      </w:r>
      <w:r w:rsidRPr="006A3596">
        <w:rPr>
          <w:rFonts w:ascii="Times New Roman" w:eastAsia="Songti TC" w:hAnsi="Times New Roman"/>
          <w:sz w:val="24"/>
          <w:szCs w:val="24"/>
        </w:rPr>
        <w:t>”</w:t>
      </w:r>
      <w:r w:rsidRPr="006A3596">
        <w:rPr>
          <w:rFonts w:ascii="Times New Roman" w:eastAsia="Songti TC" w:hAnsi="Times New Roman"/>
          <w:sz w:val="24"/>
          <w:szCs w:val="24"/>
        </w:rPr>
        <w:t>还是西方的《圣经》，可能都已远离德里达的初衷。要从</w:t>
      </w:r>
      <w:r w:rsidRPr="006A3596">
        <w:rPr>
          <w:rFonts w:ascii="Times New Roman" w:eastAsia="Songti TC" w:hAnsi="Times New Roman"/>
          <w:i/>
          <w:sz w:val="24"/>
          <w:szCs w:val="24"/>
        </w:rPr>
        <w:t>donner</w:t>
      </w:r>
      <w:r w:rsidRPr="006A3596">
        <w:rPr>
          <w:rFonts w:ascii="Times New Roman" w:eastAsia="Songti TC" w:hAnsi="Times New Roman"/>
          <w:sz w:val="24"/>
          <w:szCs w:val="24"/>
        </w:rPr>
        <w:t>打通</w:t>
      </w:r>
      <w:r w:rsidRPr="006A3596">
        <w:rPr>
          <w:rFonts w:ascii="Times New Roman" w:eastAsia="Songti TC" w:hAnsi="Times New Roman"/>
          <w:sz w:val="24"/>
          <w:szCs w:val="24"/>
        </w:rPr>
        <w:t>“</w:t>
      </w:r>
      <w:r w:rsidRPr="006A3596">
        <w:rPr>
          <w:rFonts w:ascii="Times New Roman" w:eastAsia="Songti TC" w:hAnsi="Times New Roman"/>
          <w:sz w:val="24"/>
          <w:szCs w:val="24"/>
        </w:rPr>
        <w:t>礼物</w:t>
      </w:r>
      <w:r w:rsidRPr="006A3596">
        <w:rPr>
          <w:rFonts w:ascii="Times New Roman" w:eastAsia="Songti TC" w:hAnsi="Times New Roman"/>
          <w:sz w:val="24"/>
          <w:szCs w:val="24"/>
        </w:rPr>
        <w:t>”</w:t>
      </w:r>
      <w:r w:rsidRPr="006A3596">
        <w:rPr>
          <w:rFonts w:ascii="Times New Roman" w:eastAsia="Songti TC" w:hAnsi="Times New Roman"/>
          <w:sz w:val="24"/>
          <w:szCs w:val="24"/>
        </w:rPr>
        <w:t>与</w:t>
      </w:r>
      <w:r w:rsidRPr="006A3596">
        <w:rPr>
          <w:rFonts w:ascii="Times New Roman" w:eastAsia="Songti TC" w:hAnsi="Times New Roman"/>
          <w:sz w:val="24"/>
          <w:szCs w:val="24"/>
        </w:rPr>
        <w:t>“</w:t>
      </w:r>
      <w:r w:rsidRPr="006A3596">
        <w:rPr>
          <w:rFonts w:ascii="Times New Roman" w:eastAsia="Songti TC" w:hAnsi="Times New Roman"/>
          <w:sz w:val="24"/>
          <w:szCs w:val="24"/>
        </w:rPr>
        <w:t>被给予</w:t>
      </w:r>
      <w:r w:rsidRPr="006A3596">
        <w:rPr>
          <w:rFonts w:ascii="Times New Roman" w:eastAsia="Songti TC" w:hAnsi="Times New Roman"/>
          <w:sz w:val="24"/>
          <w:szCs w:val="24"/>
        </w:rPr>
        <w:t>”</w:t>
      </w:r>
      <w:r w:rsidRPr="006A3596">
        <w:rPr>
          <w:rFonts w:ascii="Times New Roman" w:eastAsia="Songti TC" w:hAnsi="Times New Roman"/>
          <w:sz w:val="24"/>
          <w:szCs w:val="24"/>
        </w:rPr>
        <w:t>的逻辑联系，或可取道他对列维纳斯的解说。</w:t>
      </w:r>
    </w:p>
    <w:p w14:paraId="249A1527" w14:textId="296D4E12" w:rsidR="00A06B54" w:rsidRPr="006A3596" w:rsidRDefault="00A06B54" w:rsidP="006A3596">
      <w:pPr>
        <w:spacing w:before="120" w:after="120"/>
        <w:ind w:firstLine="488"/>
        <w:rPr>
          <w:rFonts w:ascii="Times New Roman" w:eastAsia="Songti TC" w:hAnsi="Times New Roman"/>
          <w:sz w:val="24"/>
          <w:szCs w:val="24"/>
        </w:rPr>
      </w:pPr>
      <w:r w:rsidRPr="006A3596">
        <w:rPr>
          <w:rFonts w:ascii="Times New Roman" w:eastAsia="Songti TC" w:hAnsi="Times New Roman"/>
          <w:sz w:val="24"/>
          <w:szCs w:val="24"/>
        </w:rPr>
        <w:t>列维纳斯（</w:t>
      </w:r>
      <w:r w:rsidRPr="006A3596">
        <w:rPr>
          <w:rFonts w:ascii="Times New Roman" w:eastAsia="Songti TC" w:hAnsi="Times New Roman"/>
          <w:sz w:val="24"/>
          <w:szCs w:val="24"/>
        </w:rPr>
        <w:t>Emmanuel Levinas</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Fonts w:ascii="Times New Roman" w:eastAsia="Songti TC" w:hAnsi="Times New Roman"/>
          <w:sz w:val="24"/>
          <w:szCs w:val="24"/>
        </w:rPr>
        <w:t>基于他异性的伦理学先于本体论</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Fonts w:ascii="Times New Roman" w:eastAsia="Songti TC" w:hAnsi="Times New Roman"/>
          <w:sz w:val="24"/>
          <w:szCs w:val="24"/>
        </w:rPr>
        <w:t>before ontology there is an ethics rooted in alterity</w:t>
      </w:r>
      <w:r w:rsidRPr="006A3596">
        <w:rPr>
          <w:rFonts w:ascii="Times New Roman" w:eastAsia="Songti TC" w:hAnsi="Times New Roman"/>
          <w:sz w:val="24"/>
          <w:szCs w:val="24"/>
        </w:rPr>
        <w:t>）之说</w:t>
      </w:r>
      <w:r w:rsidRPr="006A3596">
        <w:rPr>
          <w:rStyle w:val="Funotenzeichen"/>
          <w:rFonts w:ascii="Times New Roman" w:eastAsia="Songti TC" w:hAnsi="Times New Roman"/>
          <w:sz w:val="24"/>
          <w:szCs w:val="24"/>
        </w:rPr>
        <w:footnoteReference w:id="11"/>
      </w:r>
      <w:r w:rsidRPr="006A3596">
        <w:rPr>
          <w:rFonts w:ascii="Times New Roman" w:eastAsia="Songti TC" w:hAnsi="Times New Roman"/>
          <w:sz w:val="24"/>
          <w:szCs w:val="24"/>
        </w:rPr>
        <w:t>，引出</w:t>
      </w:r>
      <w:r w:rsidRPr="006A3596">
        <w:rPr>
          <w:rFonts w:ascii="Times New Roman" w:eastAsia="Songti TC" w:hAnsi="Times New Roman"/>
          <w:sz w:val="24"/>
          <w:szCs w:val="24"/>
          <w:shd w:val="clear" w:color="auto" w:fill="FFFFFF"/>
          <w:lang w:val="x-none"/>
        </w:rPr>
        <w:t>德里达</w:t>
      </w:r>
      <w:proofErr w:type="spellStart"/>
      <w:r w:rsidRPr="006A3596">
        <w:rPr>
          <w:rFonts w:ascii="Times New Roman" w:eastAsia="Songti TC" w:hAnsi="Times New Roman"/>
          <w:sz w:val="24"/>
          <w:szCs w:val="24"/>
          <w:shd w:val="clear" w:color="auto" w:fill="FFFFFF"/>
          <w:lang w:val="x-none" w:eastAsia="x-none"/>
        </w:rPr>
        <w:t>论及的</w:t>
      </w:r>
      <w:r w:rsidRPr="006A3596">
        <w:rPr>
          <w:rFonts w:ascii="Times New Roman" w:eastAsia="Songti TC" w:hAnsi="Times New Roman"/>
          <w:sz w:val="24"/>
          <w:szCs w:val="24"/>
        </w:rPr>
        <w:t>hospitality</w:t>
      </w:r>
      <w:proofErr w:type="spellEnd"/>
      <w:r w:rsidRPr="006A3596">
        <w:rPr>
          <w:rFonts w:ascii="Times New Roman" w:eastAsia="Songti TC" w:hAnsi="Times New Roman"/>
          <w:sz w:val="24"/>
          <w:szCs w:val="24"/>
          <w:shd w:val="clear" w:color="auto" w:fill="FFFFFF"/>
        </w:rPr>
        <w:t>和</w:t>
      </w:r>
      <w:r w:rsidRPr="006A3596">
        <w:rPr>
          <w:rFonts w:ascii="Times New Roman" w:eastAsia="Songti TC" w:hAnsi="Times New Roman"/>
          <w:sz w:val="24"/>
          <w:szCs w:val="24"/>
        </w:rPr>
        <w:t>hostage</w:t>
      </w:r>
      <w:r w:rsidRPr="006A3596">
        <w:rPr>
          <w:rFonts w:ascii="Times New Roman" w:eastAsia="Songti TC" w:hAnsi="Times New Roman"/>
          <w:sz w:val="24"/>
          <w:szCs w:val="24"/>
          <w:shd w:val="clear" w:color="auto" w:fill="FFFFFF"/>
        </w:rPr>
        <w:t>。</w:t>
      </w:r>
      <w:r w:rsidRPr="006A3596">
        <w:rPr>
          <w:rStyle w:val="Funotenzeichen"/>
          <w:rFonts w:ascii="Times New Roman" w:eastAsia="Songti TC" w:hAnsi="Times New Roman"/>
          <w:sz w:val="24"/>
          <w:szCs w:val="24"/>
          <w:shd w:val="clear" w:color="auto" w:fill="FFFFFF"/>
        </w:rPr>
        <w:footnoteReference w:id="12"/>
      </w:r>
      <w:r w:rsidRPr="006A3596">
        <w:rPr>
          <w:rFonts w:ascii="Times New Roman" w:eastAsia="Songti TC" w:hAnsi="Times New Roman"/>
          <w:sz w:val="24"/>
          <w:szCs w:val="24"/>
          <w:shd w:val="clear" w:color="auto" w:fill="FFFFFF"/>
        </w:rPr>
        <w:t>按照德里达的用法，在拉丁语中</w:t>
      </w:r>
      <w:r w:rsidRPr="006A3596">
        <w:rPr>
          <w:rFonts w:ascii="Times New Roman" w:eastAsia="Songti TC" w:hAnsi="Times New Roman"/>
          <w:sz w:val="24"/>
          <w:szCs w:val="24"/>
        </w:rPr>
        <w:t>hospitality</w:t>
      </w:r>
      <w:r w:rsidRPr="006A3596">
        <w:rPr>
          <w:rFonts w:ascii="Times New Roman" w:eastAsia="Songti TC" w:hAnsi="Times New Roman"/>
          <w:sz w:val="24"/>
          <w:szCs w:val="24"/>
          <w:shd w:val="clear" w:color="auto" w:fill="FFFFFF"/>
        </w:rPr>
        <w:t>既指主人也指客人，常被汉语译为</w:t>
      </w:r>
      <w:r w:rsidRPr="006A3596">
        <w:rPr>
          <w:rFonts w:ascii="Times New Roman" w:eastAsia="Songti TC" w:hAnsi="Times New Roman"/>
          <w:sz w:val="24"/>
          <w:szCs w:val="24"/>
          <w:shd w:val="clear" w:color="auto" w:fill="FFFFFF"/>
        </w:rPr>
        <w:t>“</w:t>
      </w:r>
      <w:r w:rsidRPr="006A3596">
        <w:rPr>
          <w:rFonts w:ascii="Times New Roman" w:eastAsia="Songti TC" w:hAnsi="Times New Roman"/>
          <w:sz w:val="24"/>
          <w:szCs w:val="24"/>
          <w:shd w:val="clear" w:color="auto" w:fill="FFFFFF"/>
        </w:rPr>
        <w:t>人质</w:t>
      </w:r>
      <w:r w:rsidRPr="006A3596">
        <w:rPr>
          <w:rFonts w:ascii="Times New Roman" w:eastAsia="Songti TC" w:hAnsi="Times New Roman"/>
          <w:sz w:val="24"/>
          <w:szCs w:val="24"/>
          <w:shd w:val="clear" w:color="auto" w:fill="FFFFFF"/>
        </w:rPr>
        <w:t>”</w:t>
      </w:r>
      <w:r w:rsidRPr="006A3596">
        <w:rPr>
          <w:rFonts w:ascii="Times New Roman" w:eastAsia="Songti TC" w:hAnsi="Times New Roman"/>
          <w:sz w:val="24"/>
          <w:szCs w:val="24"/>
          <w:shd w:val="clear" w:color="auto" w:fill="FFFFFF"/>
        </w:rPr>
        <w:t>的</w:t>
      </w:r>
      <w:r w:rsidRPr="006A3596">
        <w:rPr>
          <w:rFonts w:ascii="Times New Roman" w:eastAsia="Songti TC" w:hAnsi="Times New Roman"/>
          <w:sz w:val="24"/>
          <w:szCs w:val="24"/>
        </w:rPr>
        <w:t>hostage</w:t>
      </w:r>
      <w:r w:rsidRPr="006A3596">
        <w:rPr>
          <w:rFonts w:ascii="Times New Roman" w:eastAsia="Songti TC" w:hAnsi="Times New Roman"/>
          <w:sz w:val="24"/>
          <w:szCs w:val="24"/>
          <w:shd w:val="clear" w:color="auto" w:fill="FFFFFF"/>
        </w:rPr>
        <w:t>在古法语中则是指客人或外来者。德里达除去回溯词语的背景之外也再次联系到</w:t>
      </w:r>
      <w:r w:rsidRPr="006A3596">
        <w:rPr>
          <w:rFonts w:ascii="Times New Roman" w:eastAsia="Songti TC" w:hAnsi="Times New Roman"/>
          <w:sz w:val="24"/>
          <w:szCs w:val="24"/>
          <w:shd w:val="clear" w:color="auto" w:fill="FFFFFF"/>
        </w:rPr>
        <w:t>“S</w:t>
      </w:r>
      <w:r w:rsidRPr="006A3596">
        <w:rPr>
          <w:rFonts w:ascii="Times New Roman" w:eastAsia="Songti TC" w:hAnsi="Times New Roman"/>
          <w:sz w:val="24"/>
          <w:szCs w:val="24"/>
          <w:shd w:val="clear" w:color="auto" w:fill="FFFFFF"/>
        </w:rPr>
        <w:t>是</w:t>
      </w:r>
      <w:r w:rsidRPr="006A3596">
        <w:rPr>
          <w:rFonts w:ascii="Times New Roman" w:eastAsia="Songti TC" w:hAnsi="Times New Roman"/>
          <w:sz w:val="24"/>
          <w:szCs w:val="24"/>
          <w:shd w:val="clear" w:color="auto" w:fill="FFFFFF"/>
        </w:rPr>
        <w:t>P”</w:t>
      </w:r>
      <w:r w:rsidRPr="006A3596">
        <w:rPr>
          <w:rFonts w:ascii="Times New Roman" w:eastAsia="Songti TC" w:hAnsi="Times New Roman"/>
          <w:sz w:val="24"/>
          <w:szCs w:val="24"/>
          <w:shd w:val="clear" w:color="auto" w:fill="FFFFFF"/>
        </w:rPr>
        <w:t>的句法，认为那意味着关于主体的两种界定（</w:t>
      </w:r>
      <w:r w:rsidRPr="006A3596">
        <w:rPr>
          <w:rFonts w:ascii="Times New Roman" w:eastAsia="Songti TC" w:hAnsi="Times New Roman"/>
          <w:sz w:val="24"/>
          <w:szCs w:val="24"/>
        </w:rPr>
        <w:t>two brief and explicit definitions of the subject in the form of S is P</w:t>
      </w:r>
      <w:r w:rsidRPr="006A3596">
        <w:rPr>
          <w:rFonts w:ascii="Times New Roman" w:eastAsia="Songti TC" w:hAnsi="Times New Roman"/>
          <w:sz w:val="24"/>
          <w:szCs w:val="24"/>
          <w:shd w:val="clear" w:color="auto" w:fill="FFFFFF"/>
        </w:rPr>
        <w:t>），即：主体是主人，主体也是客人（</w:t>
      </w:r>
      <w:r w:rsidRPr="006A3596">
        <w:rPr>
          <w:rFonts w:ascii="Times New Roman" w:eastAsia="Songti TC" w:hAnsi="Times New Roman"/>
          <w:sz w:val="24"/>
          <w:szCs w:val="24"/>
          <w:shd w:val="clear" w:color="auto" w:fill="FFFFFF"/>
        </w:rPr>
        <w:t>“</w:t>
      </w:r>
      <w:r w:rsidRPr="006A3596">
        <w:rPr>
          <w:rFonts w:ascii="Times New Roman" w:eastAsia="Songti TC" w:hAnsi="Times New Roman"/>
          <w:sz w:val="24"/>
          <w:szCs w:val="24"/>
        </w:rPr>
        <w:t>the subject is the host” and “the subject is hostage</w:t>
      </w:r>
      <w:r w:rsidRPr="006A3596">
        <w:rPr>
          <w:rFonts w:ascii="Times New Roman" w:eastAsia="Songti TC" w:hAnsi="Times New Roman"/>
          <w:sz w:val="24"/>
          <w:szCs w:val="24"/>
          <w:shd w:val="clear" w:color="auto" w:fill="FFFFFF"/>
        </w:rPr>
        <w:t>”</w:t>
      </w:r>
      <w:r w:rsidRPr="006A3596">
        <w:rPr>
          <w:rFonts w:ascii="Times New Roman" w:eastAsia="Songti TC" w:hAnsi="Times New Roman"/>
          <w:sz w:val="24"/>
          <w:szCs w:val="24"/>
          <w:shd w:val="clear" w:color="auto" w:fill="FFFFFF"/>
        </w:rPr>
        <w:t>）。通过</w:t>
      </w:r>
      <w:r w:rsidRPr="006A3596">
        <w:rPr>
          <w:rFonts w:ascii="Times New Roman" w:eastAsia="Songti TC" w:hAnsi="Times New Roman"/>
          <w:sz w:val="24"/>
          <w:szCs w:val="24"/>
        </w:rPr>
        <w:t>hospitality</w:t>
      </w:r>
      <w:r w:rsidRPr="006A3596">
        <w:rPr>
          <w:rFonts w:ascii="Times New Roman" w:eastAsia="Songti TC" w:hAnsi="Times New Roman"/>
          <w:sz w:val="24"/>
          <w:szCs w:val="24"/>
          <w:shd w:val="clear" w:color="auto" w:fill="FFFFFF"/>
        </w:rPr>
        <w:t>和</w:t>
      </w:r>
      <w:r w:rsidRPr="006A3596">
        <w:rPr>
          <w:rFonts w:ascii="Times New Roman" w:eastAsia="Songti TC" w:hAnsi="Times New Roman"/>
          <w:sz w:val="24"/>
          <w:szCs w:val="24"/>
        </w:rPr>
        <w:t>hostage</w:t>
      </w:r>
      <w:r w:rsidRPr="006A3596">
        <w:rPr>
          <w:rFonts w:ascii="Times New Roman" w:eastAsia="Songti TC" w:hAnsi="Times New Roman"/>
          <w:sz w:val="24"/>
          <w:szCs w:val="24"/>
          <w:shd w:val="clear" w:color="auto" w:fill="FFFFFF"/>
        </w:rPr>
        <w:t xml:space="preserve"> </w:t>
      </w:r>
      <w:r w:rsidRPr="006A3596">
        <w:rPr>
          <w:rFonts w:ascii="Times New Roman" w:eastAsia="Songti TC" w:hAnsi="Times New Roman"/>
          <w:sz w:val="24"/>
          <w:szCs w:val="24"/>
          <w:shd w:val="clear" w:color="auto" w:fill="FFFFFF"/>
        </w:rPr>
        <w:t>的对应与关联，</w:t>
      </w:r>
      <w:r w:rsidRPr="006A3596">
        <w:rPr>
          <w:rFonts w:ascii="Times New Roman" w:eastAsia="Songti TC" w:hAnsi="Times New Roman"/>
          <w:sz w:val="24"/>
          <w:szCs w:val="24"/>
          <w:shd w:val="clear" w:color="auto" w:fill="FFFFFF"/>
        </w:rPr>
        <w:t>“</w:t>
      </w:r>
      <w:r w:rsidRPr="006A3596">
        <w:rPr>
          <w:rFonts w:ascii="Times New Roman" w:eastAsia="Songti TC" w:hAnsi="Times New Roman"/>
          <w:sz w:val="24"/>
          <w:szCs w:val="24"/>
          <w:shd w:val="clear" w:color="auto" w:fill="FFFFFF"/>
        </w:rPr>
        <w:t>作为主人之主体具有了作为客人之主体的属性</w:t>
      </w:r>
      <w:r w:rsidRPr="006A3596">
        <w:rPr>
          <w:rFonts w:ascii="Times New Roman" w:eastAsia="Songti TC" w:hAnsi="Times New Roman"/>
          <w:sz w:val="24"/>
          <w:szCs w:val="24"/>
          <w:shd w:val="clear" w:color="auto" w:fill="FFFFFF"/>
        </w:rPr>
        <w:t>”</w:t>
      </w:r>
      <w:r w:rsidRPr="006A3596">
        <w:rPr>
          <w:rFonts w:ascii="Times New Roman" w:eastAsia="Songti TC" w:hAnsi="Times New Roman"/>
          <w:sz w:val="24"/>
          <w:szCs w:val="24"/>
          <w:shd w:val="clear" w:color="auto" w:fill="FFFFFF"/>
        </w:rPr>
        <w:t>（</w:t>
      </w:r>
      <w:r w:rsidRPr="006A3596">
        <w:rPr>
          <w:rFonts w:ascii="Times New Roman" w:eastAsia="Songti TC" w:hAnsi="Times New Roman"/>
          <w:sz w:val="24"/>
          <w:szCs w:val="24"/>
        </w:rPr>
        <w:t>the subject-host takes on the attribute of being-hostage</w:t>
      </w:r>
      <w:r w:rsidRPr="006A3596">
        <w:rPr>
          <w:rFonts w:ascii="Times New Roman" w:eastAsia="Songti TC" w:hAnsi="Times New Roman"/>
          <w:sz w:val="24"/>
          <w:szCs w:val="24"/>
          <w:shd w:val="clear" w:color="auto" w:fill="FFFFFF"/>
        </w:rPr>
        <w:t>），</w:t>
      </w:r>
      <w:r w:rsidRPr="006A3596">
        <w:rPr>
          <w:rFonts w:ascii="Times New Roman" w:eastAsia="Songti TC" w:hAnsi="Times New Roman"/>
          <w:sz w:val="24"/>
          <w:szCs w:val="24"/>
          <w:shd w:val="clear" w:color="auto" w:fill="FFFFFF"/>
        </w:rPr>
        <w:t>“</w:t>
      </w:r>
      <w:r w:rsidRPr="006A3596">
        <w:rPr>
          <w:rFonts w:ascii="Times New Roman" w:eastAsia="Songti TC" w:hAnsi="Times New Roman"/>
          <w:sz w:val="24"/>
          <w:szCs w:val="24"/>
          <w:shd w:val="clear" w:color="auto" w:fill="FFFFFF"/>
        </w:rPr>
        <w:t>自我成为了替代他人的客人</w:t>
      </w:r>
      <w:r w:rsidRPr="006A3596">
        <w:rPr>
          <w:rFonts w:ascii="Times New Roman" w:eastAsia="Songti TC" w:hAnsi="Times New Roman"/>
          <w:sz w:val="24"/>
          <w:szCs w:val="24"/>
          <w:shd w:val="clear" w:color="auto" w:fill="FFFFFF"/>
        </w:rPr>
        <w:t>”</w:t>
      </w:r>
      <w:r w:rsidRPr="006A3596">
        <w:rPr>
          <w:rFonts w:ascii="Times New Roman" w:eastAsia="Songti TC" w:hAnsi="Times New Roman"/>
          <w:sz w:val="24"/>
          <w:szCs w:val="24"/>
          <w:shd w:val="clear" w:color="auto" w:fill="FFFFFF"/>
        </w:rPr>
        <w:t>（</w:t>
      </w:r>
      <w:r w:rsidRPr="006A3596">
        <w:rPr>
          <w:rFonts w:ascii="Times New Roman" w:eastAsia="Songti TC" w:hAnsi="Times New Roman"/>
          <w:sz w:val="24"/>
          <w:szCs w:val="24"/>
        </w:rPr>
        <w:t>self, a hostage already substituted for the others</w:t>
      </w:r>
      <w:r w:rsidRPr="006A3596">
        <w:rPr>
          <w:rFonts w:ascii="Times New Roman" w:eastAsia="Songti TC" w:hAnsi="Times New Roman"/>
          <w:sz w:val="24"/>
          <w:szCs w:val="24"/>
          <w:shd w:val="clear" w:color="auto" w:fill="FFFFFF"/>
        </w:rPr>
        <w:t>）、成为了</w:t>
      </w:r>
      <w:r w:rsidRPr="006A3596">
        <w:rPr>
          <w:rFonts w:ascii="Times New Roman" w:eastAsia="Songti TC" w:hAnsi="Times New Roman"/>
          <w:sz w:val="24"/>
          <w:szCs w:val="24"/>
          <w:shd w:val="clear" w:color="auto" w:fill="FFFFFF"/>
        </w:rPr>
        <w:t>“</w:t>
      </w:r>
      <w:r w:rsidRPr="006A3596">
        <w:rPr>
          <w:rFonts w:ascii="Times New Roman" w:eastAsia="Songti TC" w:hAnsi="Times New Roman"/>
          <w:sz w:val="24"/>
          <w:szCs w:val="24"/>
          <w:shd w:val="clear" w:color="auto" w:fill="FFFFFF"/>
        </w:rPr>
        <w:t>作为代</w:t>
      </w:r>
      <w:r w:rsidRPr="006A3596">
        <w:rPr>
          <w:rFonts w:ascii="Times New Roman" w:eastAsia="Songti TC" w:hAnsi="Times New Roman"/>
          <w:sz w:val="24"/>
          <w:szCs w:val="24"/>
          <w:shd w:val="clear" w:color="auto" w:fill="FFFFFF"/>
        </w:rPr>
        <w:lastRenderedPageBreak/>
        <w:t>词的自我</w:t>
      </w:r>
      <w:r w:rsidRPr="006A3596">
        <w:rPr>
          <w:rFonts w:ascii="Times New Roman" w:eastAsia="Songti TC" w:hAnsi="Times New Roman"/>
          <w:sz w:val="24"/>
          <w:szCs w:val="24"/>
          <w:shd w:val="clear" w:color="auto" w:fill="FFFFFF"/>
        </w:rPr>
        <w:t>”</w:t>
      </w:r>
      <w:r w:rsidRPr="006A3596">
        <w:rPr>
          <w:rFonts w:ascii="Times New Roman" w:eastAsia="Songti TC" w:hAnsi="Times New Roman"/>
          <w:sz w:val="24"/>
          <w:szCs w:val="24"/>
          <w:shd w:val="clear" w:color="auto" w:fill="FFFFFF"/>
        </w:rPr>
        <w:t>（</w:t>
      </w:r>
      <w:r w:rsidRPr="006A3596">
        <w:rPr>
          <w:rFonts w:ascii="Times New Roman" w:eastAsia="Songti TC" w:hAnsi="Times New Roman"/>
          <w:sz w:val="24"/>
          <w:szCs w:val="24"/>
        </w:rPr>
        <w:t>the signification of the pronoun self</w:t>
      </w:r>
      <w:r w:rsidRPr="006A3596">
        <w:rPr>
          <w:rFonts w:ascii="Times New Roman" w:eastAsia="Songti TC" w:hAnsi="Times New Roman"/>
          <w:sz w:val="24"/>
          <w:szCs w:val="24"/>
          <w:shd w:val="clear" w:color="auto" w:fill="FFFFFF"/>
        </w:rPr>
        <w:t>），是为</w:t>
      </w:r>
      <w:r w:rsidRPr="006A3596">
        <w:rPr>
          <w:rFonts w:ascii="Times New Roman" w:eastAsia="Songti TC" w:hAnsi="Times New Roman"/>
          <w:sz w:val="24"/>
          <w:szCs w:val="24"/>
          <w:shd w:val="clear" w:color="auto" w:fill="FFFFFF"/>
        </w:rPr>
        <w:t>“</w:t>
      </w:r>
      <w:r w:rsidRPr="006A3596">
        <w:rPr>
          <w:rFonts w:ascii="Times New Roman" w:eastAsia="Songti TC" w:hAnsi="Times New Roman"/>
          <w:sz w:val="24"/>
          <w:szCs w:val="24"/>
          <w:shd w:val="clear" w:color="auto" w:fill="FFFFFF"/>
        </w:rPr>
        <w:t>宾格规则</w:t>
      </w:r>
      <w:r w:rsidRPr="006A3596">
        <w:rPr>
          <w:rFonts w:ascii="Times New Roman" w:eastAsia="Songti TC" w:hAnsi="Times New Roman"/>
          <w:sz w:val="24"/>
          <w:szCs w:val="24"/>
          <w:shd w:val="clear" w:color="auto" w:fill="FFFFFF"/>
        </w:rPr>
        <w:t>”</w:t>
      </w:r>
      <w:r w:rsidRPr="006A3596">
        <w:rPr>
          <w:rFonts w:ascii="Times New Roman" w:eastAsia="Songti TC" w:hAnsi="Times New Roman"/>
          <w:sz w:val="24"/>
          <w:szCs w:val="24"/>
          <w:shd w:val="clear" w:color="auto" w:fill="FFFFFF"/>
        </w:rPr>
        <w:t>（</w:t>
      </w:r>
      <w:r w:rsidRPr="006A3596">
        <w:rPr>
          <w:rFonts w:ascii="Times New Roman" w:eastAsia="Songti TC" w:hAnsi="Times New Roman"/>
          <w:sz w:val="24"/>
          <w:szCs w:val="24"/>
        </w:rPr>
        <w:t>the law of the accusative</w:t>
      </w:r>
      <w:r w:rsidRPr="006A3596">
        <w:rPr>
          <w:rFonts w:ascii="Times New Roman" w:eastAsia="Songti TC" w:hAnsi="Times New Roman"/>
          <w:sz w:val="24"/>
          <w:szCs w:val="24"/>
          <w:shd w:val="clear" w:color="auto" w:fill="FFFFFF"/>
        </w:rPr>
        <w:t>）。</w:t>
      </w:r>
      <w:r w:rsidRPr="006A3596">
        <w:rPr>
          <w:rStyle w:val="Funotenzeichen"/>
          <w:rFonts w:ascii="Times New Roman" w:eastAsia="Songti TC" w:hAnsi="Times New Roman"/>
          <w:sz w:val="24"/>
          <w:szCs w:val="24"/>
          <w:shd w:val="clear" w:color="auto" w:fill="FFFFFF"/>
        </w:rPr>
        <w:footnoteReference w:id="13"/>
      </w:r>
      <w:r w:rsidRPr="006A3596">
        <w:rPr>
          <w:rFonts w:ascii="Times New Roman" w:eastAsia="Songti TC" w:hAnsi="Times New Roman"/>
          <w:sz w:val="24"/>
          <w:szCs w:val="24"/>
          <w:shd w:val="clear" w:color="auto" w:fill="FFFFFF"/>
        </w:rPr>
        <w:t>这种</w:t>
      </w:r>
      <w:r w:rsidRPr="006A3596">
        <w:rPr>
          <w:rFonts w:ascii="Times New Roman" w:eastAsia="Songti TC" w:hAnsi="Times New Roman"/>
          <w:sz w:val="24"/>
          <w:szCs w:val="24"/>
        </w:rPr>
        <w:t>“</w:t>
      </w:r>
      <w:r w:rsidRPr="006A3596">
        <w:rPr>
          <w:rFonts w:ascii="Times New Roman" w:eastAsia="Songti TC" w:hAnsi="Times New Roman"/>
          <w:sz w:val="24"/>
          <w:szCs w:val="24"/>
        </w:rPr>
        <w:t>悖论式的回转</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Fonts w:ascii="Times New Roman" w:eastAsia="Songti TC" w:hAnsi="Times New Roman"/>
          <w:sz w:val="24"/>
          <w:szCs w:val="24"/>
        </w:rPr>
        <w:t>the paradoxical reverting</w:t>
      </w:r>
      <w:r w:rsidRPr="006A3596">
        <w:rPr>
          <w:rFonts w:ascii="Times New Roman" w:eastAsia="Songti TC" w:hAnsi="Times New Roman"/>
          <w:sz w:val="24"/>
          <w:szCs w:val="24"/>
        </w:rPr>
        <w:t>），使我们在</w:t>
      </w:r>
      <w:r w:rsidRPr="006A3596">
        <w:rPr>
          <w:rFonts w:ascii="Times New Roman" w:eastAsia="Songti TC" w:hAnsi="Times New Roman"/>
          <w:sz w:val="24"/>
          <w:szCs w:val="24"/>
        </w:rPr>
        <w:t>“</w:t>
      </w:r>
      <w:r w:rsidRPr="006A3596">
        <w:rPr>
          <w:rFonts w:ascii="Times New Roman" w:eastAsia="Songti TC" w:hAnsi="Times New Roman"/>
          <w:sz w:val="24"/>
          <w:szCs w:val="24"/>
        </w:rPr>
        <w:t>关系</w:t>
      </w:r>
      <w:r w:rsidRPr="006A3596">
        <w:rPr>
          <w:rFonts w:ascii="Times New Roman" w:eastAsia="Songti TC" w:hAnsi="Times New Roman"/>
          <w:sz w:val="24"/>
          <w:szCs w:val="24"/>
        </w:rPr>
        <w:t>”</w:t>
      </w:r>
      <w:r w:rsidRPr="006A3596">
        <w:rPr>
          <w:rFonts w:ascii="Times New Roman" w:eastAsia="Songti TC" w:hAnsi="Times New Roman"/>
          <w:sz w:val="24"/>
          <w:szCs w:val="24"/>
        </w:rPr>
        <w:t>的结构中被</w:t>
      </w:r>
      <w:r w:rsidRPr="006A3596">
        <w:rPr>
          <w:rFonts w:ascii="Times New Roman" w:eastAsia="Songti TC" w:hAnsi="Times New Roman"/>
          <w:sz w:val="24"/>
          <w:szCs w:val="24"/>
        </w:rPr>
        <w:t>“</w:t>
      </w:r>
      <w:r w:rsidRPr="006A3596">
        <w:rPr>
          <w:rFonts w:ascii="Times New Roman" w:eastAsia="Songti TC" w:hAnsi="Times New Roman"/>
          <w:sz w:val="24"/>
          <w:szCs w:val="24"/>
        </w:rPr>
        <w:t>相互</w:t>
      </w:r>
      <w:r w:rsidRPr="006A3596">
        <w:rPr>
          <w:rFonts w:ascii="Times New Roman" w:eastAsia="Songti TC" w:hAnsi="Times New Roman"/>
          <w:sz w:val="24"/>
          <w:szCs w:val="24"/>
        </w:rPr>
        <w:t>”</w:t>
      </w:r>
      <w:r w:rsidRPr="006A3596">
        <w:rPr>
          <w:rFonts w:ascii="Times New Roman" w:eastAsia="Songti TC" w:hAnsi="Times New Roman"/>
          <w:sz w:val="24"/>
          <w:szCs w:val="24"/>
        </w:rPr>
        <w:t>置入了问题。</w:t>
      </w:r>
    </w:p>
    <w:p w14:paraId="462A2F0B" w14:textId="77777777" w:rsidR="00A06B54" w:rsidRPr="006A3596" w:rsidRDefault="00A06B54" w:rsidP="006A3596">
      <w:pPr>
        <w:spacing w:before="120" w:after="120"/>
        <w:ind w:firstLine="488"/>
        <w:rPr>
          <w:rFonts w:ascii="Times New Roman" w:eastAsia="Songti TC" w:hAnsi="Times New Roman"/>
          <w:sz w:val="24"/>
          <w:szCs w:val="24"/>
        </w:rPr>
      </w:pPr>
      <w:r w:rsidRPr="006A3596">
        <w:rPr>
          <w:rFonts w:ascii="Times New Roman" w:eastAsia="Songti TC" w:hAnsi="Times New Roman"/>
          <w:sz w:val="24"/>
          <w:szCs w:val="24"/>
        </w:rPr>
        <w:t>主人也是客人、主格也是宾格的</w:t>
      </w:r>
      <w:r w:rsidRPr="006A3596">
        <w:rPr>
          <w:rFonts w:ascii="Times New Roman" w:eastAsia="Songti TC" w:hAnsi="Times New Roman"/>
          <w:sz w:val="24"/>
          <w:szCs w:val="24"/>
        </w:rPr>
        <w:t>“</w:t>
      </w:r>
      <w:r w:rsidRPr="006A3596">
        <w:rPr>
          <w:rFonts w:ascii="Times New Roman" w:eastAsia="Songti TC" w:hAnsi="Times New Roman"/>
          <w:sz w:val="24"/>
          <w:szCs w:val="24"/>
        </w:rPr>
        <w:t>悖论式回转</w:t>
      </w:r>
      <w:r w:rsidRPr="006A3596">
        <w:rPr>
          <w:rFonts w:ascii="Times New Roman" w:eastAsia="Songti TC" w:hAnsi="Times New Roman"/>
          <w:sz w:val="24"/>
          <w:szCs w:val="24"/>
        </w:rPr>
        <w:t>”</w:t>
      </w:r>
      <w:r w:rsidRPr="006A3596">
        <w:rPr>
          <w:rFonts w:ascii="Times New Roman" w:eastAsia="Songti TC" w:hAnsi="Times New Roman"/>
          <w:sz w:val="24"/>
          <w:szCs w:val="24"/>
        </w:rPr>
        <w:t>，当与</w:t>
      </w:r>
      <w:r w:rsidRPr="006A3596">
        <w:rPr>
          <w:rFonts w:ascii="Times New Roman" w:eastAsia="Songti TC" w:hAnsi="Times New Roman"/>
          <w:sz w:val="24"/>
          <w:szCs w:val="24"/>
        </w:rPr>
        <w:t>“</w:t>
      </w:r>
      <w:r w:rsidRPr="006A3596">
        <w:rPr>
          <w:rFonts w:ascii="Times New Roman" w:eastAsia="Songti TC" w:hAnsi="Times New Roman"/>
          <w:sz w:val="24"/>
          <w:szCs w:val="24"/>
        </w:rPr>
        <w:t>礼物</w:t>
      </w:r>
      <w:r w:rsidRPr="006A3596">
        <w:rPr>
          <w:rFonts w:ascii="Times New Roman" w:eastAsia="Songti TC" w:hAnsi="Times New Roman"/>
          <w:sz w:val="24"/>
          <w:szCs w:val="24"/>
        </w:rPr>
        <w:t>”</w:t>
      </w:r>
      <w:r w:rsidRPr="006A3596">
        <w:rPr>
          <w:rFonts w:ascii="Times New Roman" w:eastAsia="Songti TC" w:hAnsi="Times New Roman"/>
          <w:sz w:val="24"/>
          <w:szCs w:val="24"/>
        </w:rPr>
        <w:t>和</w:t>
      </w:r>
      <w:r w:rsidRPr="006A3596">
        <w:rPr>
          <w:rFonts w:ascii="Times New Roman" w:eastAsia="Songti TC" w:hAnsi="Times New Roman"/>
          <w:sz w:val="24"/>
          <w:szCs w:val="24"/>
        </w:rPr>
        <w:t>“</w:t>
      </w:r>
      <w:r w:rsidRPr="006A3596">
        <w:rPr>
          <w:rFonts w:ascii="Times New Roman" w:eastAsia="Songti TC" w:hAnsi="Times New Roman"/>
          <w:sz w:val="24"/>
          <w:szCs w:val="24"/>
        </w:rPr>
        <w:t>赠予</w:t>
      </w:r>
      <w:r w:rsidRPr="006A3596">
        <w:rPr>
          <w:rFonts w:ascii="Times New Roman" w:eastAsia="Songti TC" w:hAnsi="Times New Roman"/>
          <w:sz w:val="24"/>
          <w:szCs w:val="24"/>
        </w:rPr>
        <w:t>”</w:t>
      </w:r>
      <w:r w:rsidRPr="006A3596">
        <w:rPr>
          <w:rFonts w:ascii="Times New Roman" w:eastAsia="Songti TC" w:hAnsi="Times New Roman"/>
          <w:sz w:val="24"/>
          <w:szCs w:val="24"/>
        </w:rPr>
        <w:t>的双关、</w:t>
      </w:r>
      <w:r w:rsidRPr="006A3596">
        <w:rPr>
          <w:rFonts w:ascii="Times New Roman" w:eastAsia="Songti TC" w:hAnsi="Times New Roman"/>
          <w:sz w:val="24"/>
          <w:szCs w:val="24"/>
        </w:rPr>
        <w:t>Being</w:t>
      </w:r>
      <w:r w:rsidRPr="006A3596">
        <w:rPr>
          <w:rFonts w:ascii="Times New Roman" w:eastAsia="Songti TC" w:hAnsi="Times New Roman"/>
          <w:sz w:val="24"/>
          <w:szCs w:val="24"/>
        </w:rPr>
        <w:t>自身的</w:t>
      </w:r>
      <w:r w:rsidRPr="006A3596">
        <w:rPr>
          <w:rFonts w:ascii="Times New Roman" w:eastAsia="Songti TC" w:hAnsi="Times New Roman"/>
          <w:sz w:val="24"/>
          <w:szCs w:val="24"/>
        </w:rPr>
        <w:t>“</w:t>
      </w:r>
      <w:r w:rsidRPr="006A3596">
        <w:rPr>
          <w:rFonts w:ascii="Times New Roman" w:eastAsia="Songti TC" w:hAnsi="Times New Roman"/>
          <w:sz w:val="24"/>
          <w:szCs w:val="24"/>
        </w:rPr>
        <w:t>重合</w:t>
      </w:r>
      <w:r w:rsidRPr="006A3596">
        <w:rPr>
          <w:rFonts w:ascii="Times New Roman" w:eastAsia="Songti TC" w:hAnsi="Times New Roman"/>
          <w:sz w:val="24"/>
          <w:szCs w:val="24"/>
        </w:rPr>
        <w:t>”</w:t>
      </w:r>
      <w:r w:rsidRPr="006A3596">
        <w:rPr>
          <w:rFonts w:ascii="Times New Roman" w:eastAsia="Songti TC" w:hAnsi="Times New Roman"/>
          <w:sz w:val="24"/>
          <w:szCs w:val="24"/>
        </w:rPr>
        <w:t>构成一个互为解释的意义链条。其间的层层转换并非汉语的</w:t>
      </w:r>
      <w:r w:rsidRPr="006A3596">
        <w:rPr>
          <w:rFonts w:ascii="Times New Roman" w:eastAsia="Songti TC" w:hAnsi="Times New Roman"/>
          <w:sz w:val="24"/>
          <w:szCs w:val="24"/>
        </w:rPr>
        <w:t>“</w:t>
      </w:r>
      <w:r w:rsidRPr="006A3596">
        <w:rPr>
          <w:rFonts w:ascii="Times New Roman" w:eastAsia="Songti TC" w:hAnsi="Times New Roman"/>
          <w:sz w:val="24"/>
          <w:szCs w:val="24"/>
        </w:rPr>
        <w:t>礼物</w:t>
      </w:r>
      <w:r w:rsidRPr="006A3596">
        <w:rPr>
          <w:rFonts w:ascii="Times New Roman" w:eastAsia="Songti TC" w:hAnsi="Times New Roman"/>
          <w:sz w:val="24"/>
          <w:szCs w:val="24"/>
        </w:rPr>
        <w:t>”</w:t>
      </w:r>
      <w:r w:rsidRPr="006A3596">
        <w:rPr>
          <w:rFonts w:ascii="Times New Roman" w:eastAsia="Songti TC" w:hAnsi="Times New Roman"/>
          <w:sz w:val="24"/>
          <w:szCs w:val="24"/>
        </w:rPr>
        <w:t>所能涵盖，但是如果中西</w:t>
      </w:r>
      <w:r w:rsidRPr="006A3596">
        <w:rPr>
          <w:rFonts w:ascii="Times New Roman" w:eastAsia="Songti TC" w:hAnsi="Times New Roman"/>
          <w:kern w:val="0"/>
          <w:sz w:val="24"/>
          <w:szCs w:val="24"/>
        </w:rPr>
        <w:t>双方的思想谱系能够</w:t>
      </w:r>
      <w:r w:rsidRPr="006A3596">
        <w:rPr>
          <w:rFonts w:ascii="Times New Roman" w:eastAsia="Songti TC" w:hAnsi="Times New Roman"/>
          <w:sz w:val="24"/>
          <w:szCs w:val="24"/>
        </w:rPr>
        <w:t>在上述的比较中</w:t>
      </w:r>
      <w:r w:rsidRPr="006A3596">
        <w:rPr>
          <w:rFonts w:ascii="Times New Roman" w:eastAsia="Songti TC" w:hAnsi="Times New Roman"/>
          <w:kern w:val="0"/>
          <w:sz w:val="24"/>
          <w:szCs w:val="24"/>
        </w:rPr>
        <w:t>得以清理，也便从</w:t>
      </w:r>
      <w:r w:rsidRPr="006A3596">
        <w:rPr>
          <w:rFonts w:ascii="Times New Roman" w:eastAsia="Songti TC" w:hAnsi="Times New Roman"/>
          <w:sz w:val="24"/>
          <w:szCs w:val="24"/>
        </w:rPr>
        <w:t>“</w:t>
      </w:r>
      <w:r w:rsidRPr="006A3596">
        <w:rPr>
          <w:rFonts w:ascii="Times New Roman" w:eastAsia="Songti TC" w:hAnsi="Times New Roman"/>
          <w:sz w:val="24"/>
          <w:szCs w:val="24"/>
        </w:rPr>
        <w:t>相反</w:t>
      </w:r>
      <w:r w:rsidRPr="006A3596">
        <w:rPr>
          <w:rFonts w:ascii="Times New Roman" w:eastAsia="Songti TC" w:hAnsi="Times New Roman"/>
          <w:sz w:val="24"/>
          <w:szCs w:val="24"/>
        </w:rPr>
        <w:t>”</w:t>
      </w:r>
      <w:r w:rsidRPr="006A3596">
        <w:rPr>
          <w:rFonts w:ascii="Times New Roman" w:eastAsia="Songti TC" w:hAnsi="Times New Roman"/>
          <w:sz w:val="24"/>
          <w:szCs w:val="24"/>
        </w:rPr>
        <w:t>转化为</w:t>
      </w:r>
      <w:r w:rsidRPr="006A3596">
        <w:rPr>
          <w:rFonts w:ascii="Times New Roman" w:eastAsia="Songti TC" w:hAnsi="Times New Roman"/>
          <w:sz w:val="24"/>
          <w:szCs w:val="24"/>
        </w:rPr>
        <w:t>“</w:t>
      </w:r>
      <w:r w:rsidRPr="006A3596">
        <w:rPr>
          <w:rFonts w:ascii="Times New Roman" w:eastAsia="Songti TC" w:hAnsi="Times New Roman"/>
          <w:sz w:val="24"/>
          <w:szCs w:val="24"/>
        </w:rPr>
        <w:t>相成</w:t>
      </w:r>
      <w:r w:rsidRPr="006A3596">
        <w:rPr>
          <w:rFonts w:ascii="Times New Roman" w:eastAsia="Songti TC" w:hAnsi="Times New Roman"/>
          <w:sz w:val="24"/>
          <w:szCs w:val="24"/>
        </w:rPr>
        <w:t>”</w:t>
      </w:r>
      <w:r w:rsidRPr="006A3596">
        <w:rPr>
          <w:rFonts w:ascii="Times New Roman" w:eastAsia="Songti TC" w:hAnsi="Times New Roman"/>
          <w:sz w:val="24"/>
          <w:szCs w:val="24"/>
        </w:rPr>
        <w:t>（</w:t>
      </w:r>
      <w:r w:rsidRPr="006A3596">
        <w:rPr>
          <w:rFonts w:ascii="Times New Roman" w:eastAsia="Songti TC" w:hAnsi="Times New Roman"/>
          <w:sz w:val="24"/>
          <w:szCs w:val="24"/>
        </w:rPr>
        <w:t>from contradiction to contrariety</w:t>
      </w:r>
      <w:r w:rsidRPr="006A3596">
        <w:rPr>
          <w:rFonts w:ascii="Times New Roman" w:eastAsia="Songti TC" w:hAnsi="Times New Roman"/>
          <w:sz w:val="24"/>
          <w:szCs w:val="24"/>
        </w:rPr>
        <w:t>），从彼此的批判（</w:t>
      </w:r>
      <w:r w:rsidRPr="006A3596">
        <w:rPr>
          <w:rFonts w:ascii="Times New Roman" w:eastAsia="Songti TC" w:hAnsi="Times New Roman"/>
          <w:sz w:val="24"/>
          <w:szCs w:val="24"/>
        </w:rPr>
        <w:t>mutually critical</w:t>
      </w:r>
      <w:r w:rsidRPr="006A3596">
        <w:rPr>
          <w:rFonts w:ascii="Times New Roman" w:eastAsia="Songti TC" w:hAnsi="Times New Roman"/>
          <w:sz w:val="24"/>
          <w:szCs w:val="24"/>
        </w:rPr>
        <w:t>）达至相互的阐明（</w:t>
      </w:r>
      <w:r w:rsidRPr="006A3596">
        <w:rPr>
          <w:rFonts w:ascii="Times New Roman" w:eastAsia="Songti TC" w:hAnsi="Times New Roman"/>
          <w:sz w:val="24"/>
          <w:szCs w:val="24"/>
        </w:rPr>
        <w:t>reciprocal illumination</w:t>
      </w:r>
      <w:r w:rsidRPr="006A3596">
        <w:rPr>
          <w:rFonts w:ascii="Times New Roman" w:eastAsia="Songti TC" w:hAnsi="Times New Roman"/>
          <w:sz w:val="24"/>
          <w:szCs w:val="24"/>
        </w:rPr>
        <w:t>）</w:t>
      </w:r>
      <w:r w:rsidRPr="006A3596">
        <w:rPr>
          <w:rStyle w:val="Funotenzeichen"/>
          <w:rFonts w:ascii="Times New Roman" w:eastAsia="Songti TC" w:hAnsi="Times New Roman"/>
          <w:sz w:val="24"/>
          <w:szCs w:val="24"/>
        </w:rPr>
        <w:footnoteReference w:id="14"/>
      </w:r>
      <w:r w:rsidRPr="006A3596">
        <w:rPr>
          <w:rFonts w:ascii="Times New Roman" w:eastAsia="Songti TC" w:hAnsi="Times New Roman"/>
          <w:sz w:val="24"/>
          <w:szCs w:val="24"/>
        </w:rPr>
        <w:t>。</w:t>
      </w:r>
    </w:p>
    <w:sectPr w:rsidR="00A06B54" w:rsidRPr="006A3596" w:rsidSect="0039611A">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9A6E" w14:textId="77777777" w:rsidR="002F0DF2" w:rsidRDefault="002F0DF2" w:rsidP="00A06B54">
      <w:r>
        <w:separator/>
      </w:r>
    </w:p>
  </w:endnote>
  <w:endnote w:type="continuationSeparator" w:id="0">
    <w:p w14:paraId="4319F8C9" w14:textId="77777777" w:rsidR="002F0DF2" w:rsidRDefault="002F0DF2" w:rsidP="00A0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ongti TC">
    <w:panose1 w:val="02010600040101010101"/>
    <w:charset w:val="88"/>
    <w:family w:val="auto"/>
    <w:pitch w:val="variable"/>
    <w:sig w:usb0="00000287" w:usb1="080F0000" w:usb2="00000010" w:usb3="00000000" w:csb0="0014009F" w:csb1="00000000"/>
  </w:font>
  <w:font w:name="Microsoft YaHei">
    <w:altName w:val="微软雅黑"/>
    <w:panose1 w:val="020B0503020204020204"/>
    <w:charset w:val="86"/>
    <w:family w:val="swiss"/>
    <w:pitch w:val="variable"/>
    <w:sig w:usb0="80000287" w:usb1="28CF3C52" w:usb2="00000016" w:usb3="00000000" w:csb0="0004001F" w:csb1="00000000"/>
  </w:font>
  <w:font w:name="Times">
    <w:panose1 w:val="0200050000000000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D3FED" w14:textId="77777777" w:rsidR="002F0DF2" w:rsidRDefault="002F0DF2" w:rsidP="00A06B54">
      <w:r>
        <w:separator/>
      </w:r>
    </w:p>
  </w:footnote>
  <w:footnote w:type="continuationSeparator" w:id="0">
    <w:p w14:paraId="0E6EF628" w14:textId="77777777" w:rsidR="002F0DF2" w:rsidRDefault="002F0DF2" w:rsidP="00A06B54">
      <w:r>
        <w:continuationSeparator/>
      </w:r>
    </w:p>
  </w:footnote>
  <w:footnote w:id="1">
    <w:p w14:paraId="0CE3B868" w14:textId="77777777" w:rsidR="00A06B54" w:rsidRPr="0050243A" w:rsidRDefault="00A06B54" w:rsidP="00A06B54">
      <w:pPr>
        <w:pStyle w:val="Funotentext"/>
        <w:jc w:val="both"/>
      </w:pPr>
      <w:r>
        <w:rPr>
          <w:rStyle w:val="Funotenzeichen"/>
        </w:rPr>
        <w:footnoteRef/>
      </w:r>
      <w:r>
        <w:t xml:space="preserve"> </w:t>
      </w:r>
      <w:r w:rsidRPr="00433115">
        <w:rPr>
          <w:rFonts w:hint="eastAsia"/>
          <w:i/>
        </w:rPr>
        <w:t>Routledge History of P</w:t>
      </w:r>
      <w:r w:rsidRPr="00433115">
        <w:rPr>
          <w:i/>
        </w:rPr>
        <w:t>hilosophy</w:t>
      </w:r>
      <w:r>
        <w:t xml:space="preserve">, volume II, </w:t>
      </w:r>
      <w:r w:rsidRPr="007D2B81">
        <w:rPr>
          <w:i/>
        </w:rPr>
        <w:t xml:space="preserve">From Aristotle to Augustine, edited by David </w:t>
      </w:r>
      <w:proofErr w:type="spellStart"/>
      <w:r w:rsidRPr="007D2B81">
        <w:rPr>
          <w:i/>
        </w:rPr>
        <w:t>Furley</w:t>
      </w:r>
      <w:proofErr w:type="spellEnd"/>
      <w:r>
        <w:t>, London: Routledge, 1999</w:t>
      </w:r>
      <w:r w:rsidRPr="008F4F34">
        <w:rPr>
          <w:rFonts w:hint="eastAsia"/>
        </w:rPr>
        <w:t>,</w:t>
      </w:r>
      <w:r w:rsidRPr="008F4F34">
        <w:t xml:space="preserve"> p. 366</w:t>
      </w:r>
      <w:r>
        <w:t>.</w:t>
      </w:r>
    </w:p>
  </w:footnote>
  <w:footnote w:id="2">
    <w:p w14:paraId="1726314B" w14:textId="77777777" w:rsidR="00A06B54" w:rsidRPr="00443976" w:rsidRDefault="00A06B54" w:rsidP="00A06B54">
      <w:pPr>
        <w:pStyle w:val="Funotentext"/>
        <w:jc w:val="both"/>
        <w:rPr>
          <w:rFonts w:ascii="Songti TC" w:eastAsia="Songti TC" w:hAnsi="Songti TC"/>
        </w:rPr>
      </w:pPr>
      <w:r w:rsidRPr="00443976">
        <w:rPr>
          <w:rStyle w:val="Funotenzeichen"/>
          <w:rFonts w:ascii="Songti TC" w:eastAsia="Songti TC" w:hAnsi="Songti TC"/>
        </w:rPr>
        <w:footnoteRef/>
      </w:r>
      <w:r w:rsidRPr="00443976">
        <w:rPr>
          <w:rFonts w:ascii="Songti TC" w:eastAsia="Songti TC" w:hAnsi="Songti TC" w:hint="eastAsia"/>
        </w:rPr>
        <w:t xml:space="preserve"> </w:t>
      </w:r>
      <w:r w:rsidRPr="00443976">
        <w:rPr>
          <w:rFonts w:ascii="Songti TC" w:eastAsia="Songti TC" w:hAnsi="Songti TC" w:hint="eastAsia"/>
        </w:rPr>
        <w:t>大卫•福莱主编、</w:t>
      </w:r>
      <w:r w:rsidRPr="00443976">
        <w:rPr>
          <w:rFonts w:ascii="Songti TC" w:eastAsia="Songti TC" w:hAnsi="Songti TC"/>
        </w:rPr>
        <w:t>冯俊等译</w:t>
      </w:r>
      <w:r w:rsidRPr="00443976">
        <w:rPr>
          <w:rFonts w:ascii="Songti TC" w:eastAsia="Songti TC" w:hAnsi="Songti TC" w:hint="eastAsia"/>
        </w:rPr>
        <w:t>《从亚里士多德到奥古斯丁》</w:t>
      </w:r>
      <w:r w:rsidRPr="00443976">
        <w:rPr>
          <w:rFonts w:ascii="Songti TC" w:eastAsia="Songti TC" w:hAnsi="Songti TC"/>
        </w:rPr>
        <w:t>，北京：中国人民大学出版社2004，429页。</w:t>
      </w:r>
    </w:p>
  </w:footnote>
  <w:footnote w:id="3">
    <w:p w14:paraId="2F3DD6F9" w14:textId="77777777" w:rsidR="00A06B54" w:rsidRPr="0000722B" w:rsidRDefault="00A06B54" w:rsidP="00A06B54">
      <w:pPr>
        <w:pStyle w:val="Funotentext"/>
        <w:jc w:val="both"/>
        <w:rPr>
          <w:rFonts w:ascii="Songti TC" w:eastAsia="Songti TC" w:hAnsi="Songti TC"/>
        </w:rPr>
      </w:pPr>
      <w:r w:rsidRPr="0000722B">
        <w:rPr>
          <w:rStyle w:val="Funotenzeichen"/>
          <w:rFonts w:ascii="Songti TC" w:eastAsia="Songti TC" w:hAnsi="Songti TC"/>
        </w:rPr>
        <w:footnoteRef/>
      </w:r>
      <w:r w:rsidRPr="0000722B">
        <w:rPr>
          <w:rFonts w:ascii="Songti TC" w:eastAsia="Songti TC" w:hAnsi="Songti TC"/>
        </w:rPr>
        <w:t xml:space="preserve"> </w:t>
      </w:r>
      <w:r w:rsidRPr="0000722B">
        <w:rPr>
          <w:rFonts w:ascii="Songti TC" w:eastAsia="Songti TC" w:hAnsi="Songti TC"/>
          <w:szCs w:val="21"/>
        </w:rPr>
        <w:t xml:space="preserve">A. C. </w:t>
      </w:r>
      <w:r w:rsidRPr="0000722B">
        <w:rPr>
          <w:rFonts w:ascii="Songti TC" w:eastAsia="Songti TC" w:hAnsi="Songti TC"/>
          <w:szCs w:val="21"/>
        </w:rPr>
        <w:t>葛瑞汉著、宋继杰译《西方哲学中的</w:t>
      </w:r>
      <w:r w:rsidRPr="0000722B">
        <w:rPr>
          <w:rFonts w:ascii="Songti TC" w:eastAsia="Songti TC" w:hAnsi="Songti TC" w:hint="eastAsia"/>
          <w:szCs w:val="21"/>
        </w:rPr>
        <w:t>Being</w:t>
      </w:r>
      <w:proofErr w:type="gramStart"/>
      <w:r w:rsidRPr="0000722B">
        <w:rPr>
          <w:rFonts w:ascii="Songti TC" w:eastAsia="Songti TC" w:hAnsi="Songti TC" w:hint="eastAsia"/>
          <w:szCs w:val="21"/>
        </w:rPr>
        <w:t>与中国哲学中的“</w:t>
      </w:r>
      <w:proofErr w:type="gramEnd"/>
      <w:r w:rsidRPr="0000722B">
        <w:rPr>
          <w:rFonts w:ascii="Songti TC" w:eastAsia="Songti TC" w:hAnsi="Songti TC" w:hint="eastAsia"/>
          <w:szCs w:val="21"/>
        </w:rPr>
        <w:t>是非”“有无”之比较》，见</w:t>
      </w:r>
      <w:r w:rsidRPr="0000722B">
        <w:rPr>
          <w:rFonts w:ascii="Songti TC" w:eastAsia="Songti TC" w:hAnsi="Songti TC"/>
          <w:szCs w:val="21"/>
        </w:rPr>
        <w:t>宋继杰主编《</w:t>
      </w:r>
      <w:r w:rsidRPr="0000722B">
        <w:rPr>
          <w:rFonts w:ascii="Songti TC" w:eastAsia="Songti TC" w:hAnsi="Songti TC" w:hint="eastAsia"/>
          <w:szCs w:val="21"/>
        </w:rPr>
        <w:t>B</w:t>
      </w:r>
      <w:r w:rsidRPr="0000722B">
        <w:rPr>
          <w:rFonts w:ascii="Songti TC" w:eastAsia="Songti TC" w:hAnsi="Songti TC"/>
          <w:szCs w:val="21"/>
        </w:rPr>
        <w:t>eing与西方哲学传统》，广州：广东人民出版社</w:t>
      </w:r>
      <w:r w:rsidRPr="0000722B">
        <w:rPr>
          <w:rFonts w:ascii="Songti TC" w:eastAsia="Songti TC" w:hAnsi="Songti TC" w:hint="eastAsia"/>
          <w:szCs w:val="21"/>
        </w:rPr>
        <w:t>2011；关于康德汉译的分析见388-</w:t>
      </w:r>
      <w:r w:rsidRPr="0000722B">
        <w:rPr>
          <w:rFonts w:ascii="Songti TC" w:eastAsia="Songti TC" w:hAnsi="Songti TC"/>
          <w:szCs w:val="21"/>
        </w:rPr>
        <w:t>390页</w:t>
      </w:r>
      <w:r w:rsidRPr="0000722B">
        <w:rPr>
          <w:rFonts w:ascii="Songti TC" w:eastAsia="Songti TC" w:hAnsi="Songti TC" w:hint="eastAsia"/>
          <w:szCs w:val="21"/>
        </w:rPr>
        <w:t>。</w:t>
      </w:r>
    </w:p>
  </w:footnote>
  <w:footnote w:id="4">
    <w:p w14:paraId="726CE84B" w14:textId="77777777" w:rsidR="00A06B54" w:rsidRPr="001B349D" w:rsidRDefault="00A06B54" w:rsidP="00A06B54">
      <w:pPr>
        <w:pStyle w:val="Funotentext"/>
        <w:jc w:val="both"/>
      </w:pPr>
      <w:r w:rsidRPr="001B349D">
        <w:rPr>
          <w:rStyle w:val="Funotenzeichen"/>
        </w:rPr>
        <w:footnoteRef/>
      </w:r>
      <w:r w:rsidRPr="001B349D">
        <w:t xml:space="preserve"> Santiago </w:t>
      </w:r>
      <w:proofErr w:type="spellStart"/>
      <w:r w:rsidRPr="001B349D">
        <w:t>Zabala</w:t>
      </w:r>
      <w:proofErr w:type="spellEnd"/>
      <w:r w:rsidRPr="001B349D">
        <w:t xml:space="preserve">, </w:t>
      </w:r>
      <w:r w:rsidRPr="001B349D">
        <w:rPr>
          <w:i/>
        </w:rPr>
        <w:t>Being at Large: Freedom in the Age of Alternative Facts</w:t>
      </w:r>
      <w:r w:rsidRPr="001B349D">
        <w:rPr>
          <w:rFonts w:hint="eastAsia"/>
        </w:rPr>
        <w:t xml:space="preserve">, </w:t>
      </w:r>
      <w:r w:rsidRPr="001B349D">
        <w:t>Montreal: McGill-Queen's University Press, 2020</w:t>
      </w:r>
      <w:r w:rsidRPr="001B349D">
        <w:rPr>
          <w:rFonts w:hint="eastAsia"/>
        </w:rPr>
        <w:t xml:space="preserve">, </w:t>
      </w:r>
      <w:r w:rsidRPr="001B349D">
        <w:t>pp. 50-51</w:t>
      </w:r>
      <w:r w:rsidRPr="001B349D">
        <w:rPr>
          <w:rFonts w:hint="eastAsia"/>
        </w:rPr>
        <w:t>.</w:t>
      </w:r>
    </w:p>
  </w:footnote>
  <w:footnote w:id="5">
    <w:p w14:paraId="57187D48" w14:textId="77777777" w:rsidR="00A06B54" w:rsidRPr="0000722B" w:rsidRDefault="00A06B54" w:rsidP="00A06B54">
      <w:pPr>
        <w:pStyle w:val="Funotentext"/>
        <w:jc w:val="both"/>
        <w:rPr>
          <w:rFonts w:ascii="Songti TC" w:eastAsia="Songti TC" w:hAnsi="Songti TC"/>
        </w:rPr>
      </w:pPr>
      <w:r w:rsidRPr="0000722B">
        <w:rPr>
          <w:rStyle w:val="Funotenzeichen"/>
          <w:rFonts w:ascii="Songti TC" w:eastAsia="Songti TC" w:hAnsi="Songti TC"/>
        </w:rPr>
        <w:footnoteRef/>
      </w:r>
      <w:r w:rsidRPr="0000722B">
        <w:rPr>
          <w:rFonts w:ascii="Songti TC" w:eastAsia="Songti TC" w:hAnsi="Songti TC"/>
        </w:rPr>
        <w:t xml:space="preserve"> </w:t>
      </w:r>
      <w:r w:rsidRPr="0000722B">
        <w:rPr>
          <w:rFonts w:ascii="Songti TC" w:eastAsia="Songti TC" w:hAnsi="Songti TC"/>
          <w:szCs w:val="21"/>
        </w:rPr>
        <w:t xml:space="preserve">A. C. </w:t>
      </w:r>
      <w:r w:rsidRPr="0000722B">
        <w:rPr>
          <w:rFonts w:ascii="Songti TC" w:eastAsia="Songti TC" w:hAnsi="Songti TC"/>
          <w:szCs w:val="21"/>
        </w:rPr>
        <w:t>葛瑞汉著、宋继杰译《西方哲学中的</w:t>
      </w:r>
      <w:r w:rsidRPr="0000722B">
        <w:rPr>
          <w:rFonts w:ascii="Songti TC" w:eastAsia="Songti TC" w:hAnsi="Songti TC" w:hint="eastAsia"/>
          <w:szCs w:val="21"/>
        </w:rPr>
        <w:t>Being</w:t>
      </w:r>
      <w:proofErr w:type="gramStart"/>
      <w:r w:rsidRPr="0000722B">
        <w:rPr>
          <w:rFonts w:ascii="Songti TC" w:eastAsia="Songti TC" w:hAnsi="Songti TC" w:hint="eastAsia"/>
          <w:szCs w:val="21"/>
        </w:rPr>
        <w:t>与中国哲学中的“</w:t>
      </w:r>
      <w:proofErr w:type="gramEnd"/>
      <w:r w:rsidRPr="0000722B">
        <w:rPr>
          <w:rFonts w:ascii="Songti TC" w:eastAsia="Songti TC" w:hAnsi="Songti TC" w:hint="eastAsia"/>
          <w:szCs w:val="21"/>
        </w:rPr>
        <w:t>是非”“有无”之比较》，见</w:t>
      </w:r>
      <w:r w:rsidRPr="0000722B">
        <w:rPr>
          <w:rFonts w:ascii="Songti TC" w:eastAsia="Songti TC" w:hAnsi="Songti TC"/>
          <w:szCs w:val="21"/>
        </w:rPr>
        <w:t>宋继杰主编《</w:t>
      </w:r>
      <w:r w:rsidRPr="0000722B">
        <w:rPr>
          <w:rFonts w:ascii="Songti TC" w:eastAsia="Songti TC" w:hAnsi="Songti TC" w:hint="eastAsia"/>
          <w:szCs w:val="21"/>
        </w:rPr>
        <w:t>B</w:t>
      </w:r>
      <w:r w:rsidRPr="0000722B">
        <w:rPr>
          <w:rFonts w:ascii="Songti TC" w:eastAsia="Songti TC" w:hAnsi="Songti TC"/>
          <w:szCs w:val="21"/>
        </w:rPr>
        <w:t>eing与西方哲学传统》，390-392页</w:t>
      </w:r>
      <w:r w:rsidRPr="0000722B">
        <w:rPr>
          <w:rFonts w:ascii="Songti TC" w:eastAsia="Songti TC" w:hAnsi="Songti TC" w:hint="eastAsia"/>
          <w:szCs w:val="21"/>
        </w:rPr>
        <w:t>。</w:t>
      </w:r>
    </w:p>
  </w:footnote>
  <w:footnote w:id="6">
    <w:p w14:paraId="618B0CB2" w14:textId="77777777" w:rsidR="00A06B54" w:rsidRPr="009322F8" w:rsidRDefault="00A06B54" w:rsidP="00A06B54">
      <w:pPr>
        <w:pStyle w:val="Funotentext"/>
        <w:jc w:val="both"/>
        <w:rPr>
          <w:rFonts w:ascii="Songti TC" w:eastAsia="Songti TC" w:hAnsi="Songti TC"/>
        </w:rPr>
      </w:pPr>
      <w:r w:rsidRPr="009322F8">
        <w:rPr>
          <w:rStyle w:val="Funotenzeichen"/>
          <w:rFonts w:ascii="Times" w:hAnsi="Times"/>
        </w:rPr>
        <w:footnoteRef/>
      </w:r>
      <w:r w:rsidRPr="009322F8">
        <w:rPr>
          <w:rFonts w:ascii="Times" w:hAnsi="Times"/>
        </w:rPr>
        <w:t xml:space="preserve"> </w:t>
      </w:r>
      <w:r w:rsidRPr="009322F8">
        <w:rPr>
          <w:rFonts w:ascii="Times" w:hAnsi="Times"/>
          <w:i/>
        </w:rPr>
        <w:t>Routledge History of Philosophy</w:t>
      </w:r>
      <w:r w:rsidRPr="009322F8">
        <w:rPr>
          <w:rFonts w:ascii="Times" w:hAnsi="Times"/>
        </w:rPr>
        <w:t xml:space="preserve">, volume VIII, </w:t>
      </w:r>
      <w:r w:rsidRPr="009322F8">
        <w:rPr>
          <w:rFonts w:ascii="Times" w:hAnsi="Times"/>
          <w:i/>
        </w:rPr>
        <w:t>Continental Philosophy in the 20</w:t>
      </w:r>
      <w:r w:rsidRPr="009322F8">
        <w:rPr>
          <w:rFonts w:ascii="Times" w:hAnsi="Times"/>
          <w:i/>
          <w:vertAlign w:val="superscript"/>
        </w:rPr>
        <w:t>th</w:t>
      </w:r>
      <w:r w:rsidRPr="009322F8">
        <w:rPr>
          <w:rFonts w:ascii="Times" w:hAnsi="Times"/>
          <w:i/>
        </w:rPr>
        <w:t xml:space="preserve"> Century, edited by Richard Kearney</w:t>
      </w:r>
      <w:r w:rsidRPr="009322F8">
        <w:rPr>
          <w:rFonts w:ascii="Times" w:hAnsi="Times"/>
        </w:rPr>
        <w:t>, London: Routledge, 1994, pp. 65</w:t>
      </w:r>
      <w:r w:rsidRPr="009322F8">
        <w:rPr>
          <w:rFonts w:ascii="Times" w:hAnsi="Times"/>
        </w:rPr>
        <w:t>；</w:t>
      </w:r>
      <w:r w:rsidRPr="009322F8">
        <w:rPr>
          <w:rFonts w:ascii="Songti TC" w:eastAsia="Songti TC" w:hAnsi="Songti TC" w:hint="eastAsia"/>
        </w:rPr>
        <w:t>另参理查德•柯尔内主编、鲍建竹等译《20世纪大陆哲学》，北京：中国人民大学出版社2016，67-</w:t>
      </w:r>
      <w:r w:rsidRPr="009322F8">
        <w:rPr>
          <w:rFonts w:ascii="Songti TC" w:eastAsia="Songti TC" w:hAnsi="Songti TC"/>
        </w:rPr>
        <w:t>68</w:t>
      </w:r>
      <w:r w:rsidRPr="009322F8">
        <w:rPr>
          <w:rFonts w:ascii="Songti TC" w:eastAsia="Songti TC" w:hAnsi="Songti TC" w:hint="eastAsia"/>
        </w:rPr>
        <w:t>页，译文有所调整。</w:t>
      </w:r>
    </w:p>
  </w:footnote>
  <w:footnote w:id="7">
    <w:p w14:paraId="2E72E4D4" w14:textId="77777777" w:rsidR="00A06B54" w:rsidRPr="009322F8" w:rsidRDefault="00A06B54" w:rsidP="00A06B54">
      <w:pPr>
        <w:pStyle w:val="Funotentext"/>
        <w:jc w:val="both"/>
        <w:rPr>
          <w:rFonts w:ascii="Songti TC" w:eastAsia="Songti TC" w:hAnsi="Songti TC"/>
        </w:rPr>
      </w:pPr>
      <w:r w:rsidRPr="009322F8">
        <w:rPr>
          <w:rStyle w:val="Funotenzeichen"/>
          <w:rFonts w:ascii="Songti TC" w:eastAsia="Songti TC" w:hAnsi="Songti TC"/>
        </w:rPr>
        <w:footnoteRef/>
      </w:r>
      <w:r w:rsidRPr="009322F8">
        <w:rPr>
          <w:rFonts w:ascii="Songti TC" w:eastAsia="Songti TC" w:hAnsi="Songti TC"/>
        </w:rPr>
        <w:t xml:space="preserve"> </w:t>
      </w:r>
      <w:r w:rsidRPr="009322F8">
        <w:rPr>
          <w:rFonts w:ascii="Songti TC" w:eastAsia="Songti TC" w:hAnsi="Songti TC" w:hint="eastAsia"/>
        </w:rPr>
        <w:t>同上。</w:t>
      </w:r>
    </w:p>
  </w:footnote>
  <w:footnote w:id="8">
    <w:p w14:paraId="08C15C88" w14:textId="77777777" w:rsidR="00A06B54" w:rsidRPr="008155BC" w:rsidRDefault="00A06B54" w:rsidP="00A06B54">
      <w:pPr>
        <w:pStyle w:val="Funotentext"/>
        <w:jc w:val="both"/>
      </w:pPr>
      <w:r w:rsidRPr="009322F8">
        <w:rPr>
          <w:rStyle w:val="Funotenzeichen"/>
          <w:rFonts w:ascii="Songti TC" w:eastAsia="Songti TC" w:hAnsi="Songti TC"/>
        </w:rPr>
        <w:footnoteRef/>
      </w:r>
      <w:r w:rsidRPr="009322F8">
        <w:rPr>
          <w:rFonts w:ascii="Songti TC" w:eastAsia="Songti TC" w:hAnsi="Songti TC"/>
        </w:rPr>
        <w:t xml:space="preserve"> </w:t>
      </w:r>
      <w:r w:rsidRPr="009322F8">
        <w:rPr>
          <w:rFonts w:ascii="Songti TC" w:eastAsia="Songti TC" w:hAnsi="Songti TC" w:hint="eastAsia"/>
        </w:rPr>
        <w:t>参阅《古汉语常用字字典》，北京：商务印书馆1979，316页，290页，147页。</w:t>
      </w:r>
    </w:p>
  </w:footnote>
  <w:footnote w:id="9">
    <w:p w14:paraId="7D0773C4" w14:textId="77777777" w:rsidR="00A06B54" w:rsidRPr="00BA4298" w:rsidRDefault="00A06B54" w:rsidP="00A06B54">
      <w:pPr>
        <w:pStyle w:val="Funotentext"/>
        <w:jc w:val="both"/>
      </w:pPr>
      <w:r>
        <w:rPr>
          <w:rStyle w:val="Funotenzeichen"/>
        </w:rPr>
        <w:footnoteRef/>
      </w:r>
      <w:r>
        <w:t xml:space="preserve"> “Translator’s Preface”, see Jacques Derrida, </w:t>
      </w:r>
      <w:r w:rsidRPr="00E96239">
        <w:rPr>
          <w:i/>
        </w:rPr>
        <w:t>The Gift of Death</w:t>
      </w:r>
      <w:r>
        <w:t>, translated by David Wills, Chicago: The University of Chicago Press, 1995, p. vii.</w:t>
      </w:r>
    </w:p>
  </w:footnote>
  <w:footnote w:id="10">
    <w:p w14:paraId="21F12668" w14:textId="77777777" w:rsidR="00A06B54" w:rsidRPr="003A7251" w:rsidRDefault="00A06B54" w:rsidP="00A06B54">
      <w:pPr>
        <w:pStyle w:val="Funotentext"/>
        <w:jc w:val="both"/>
      </w:pPr>
      <w:r>
        <w:rPr>
          <w:rStyle w:val="Funotenzeichen"/>
        </w:rPr>
        <w:footnoteRef/>
      </w:r>
      <w:r>
        <w:t xml:space="preserve"> </w:t>
      </w:r>
      <w:proofErr w:type="spellStart"/>
      <w:r w:rsidRPr="003A7251">
        <w:rPr>
          <w:color w:val="000000"/>
        </w:rPr>
        <w:t>Gerasimos</w:t>
      </w:r>
      <w:proofErr w:type="spellEnd"/>
      <w:r w:rsidRPr="003A7251">
        <w:rPr>
          <w:color w:val="000000"/>
        </w:rPr>
        <w:t xml:space="preserve"> </w:t>
      </w:r>
      <w:proofErr w:type="spellStart"/>
      <w:r w:rsidRPr="003A7251">
        <w:rPr>
          <w:color w:val="000000"/>
        </w:rPr>
        <w:t>Kakoliris</w:t>
      </w:r>
      <w:proofErr w:type="spellEnd"/>
      <w:r w:rsidRPr="003A7251">
        <w:rPr>
          <w:color w:val="000000"/>
        </w:rPr>
        <w:t xml:space="preserve"> “Jacques Derrida on the Ethics of Hospitality”, Elvis </w:t>
      </w:r>
      <w:proofErr w:type="spellStart"/>
      <w:r w:rsidRPr="003A7251">
        <w:rPr>
          <w:color w:val="000000"/>
        </w:rPr>
        <w:t>Imafidon</w:t>
      </w:r>
      <w:proofErr w:type="spellEnd"/>
      <w:r w:rsidRPr="003A7251">
        <w:rPr>
          <w:color w:val="000000"/>
        </w:rPr>
        <w:t xml:space="preserve"> edited, </w:t>
      </w:r>
      <w:r w:rsidRPr="003A7251">
        <w:rPr>
          <w:i/>
          <w:color w:val="000000"/>
        </w:rPr>
        <w:t>The Ethics of Subjectivity, Perspectives since the Dawn of Modernity</w:t>
      </w:r>
      <w:r w:rsidRPr="003A7251">
        <w:rPr>
          <w:color w:val="000000"/>
        </w:rPr>
        <w:t>, New York: Palgrave Macmillan, 2015, p. 145.</w:t>
      </w:r>
    </w:p>
  </w:footnote>
  <w:footnote w:id="11">
    <w:p w14:paraId="3B5B3587" w14:textId="77777777" w:rsidR="00A06B54" w:rsidRPr="004F5579" w:rsidRDefault="00A06B54" w:rsidP="00A06B54">
      <w:pPr>
        <w:pStyle w:val="Funotentext"/>
        <w:jc w:val="both"/>
      </w:pPr>
      <w:r>
        <w:rPr>
          <w:rStyle w:val="Funotenzeichen"/>
        </w:rPr>
        <w:footnoteRef/>
      </w:r>
      <w:r>
        <w:t xml:space="preserve"> </w:t>
      </w:r>
      <w:r>
        <w:rPr>
          <w:szCs w:val="21"/>
        </w:rPr>
        <w:t>Walter Brogan and James Risser</w:t>
      </w:r>
      <w:r w:rsidRPr="002B29C0">
        <w:rPr>
          <w:szCs w:val="21"/>
        </w:rPr>
        <w:t xml:space="preserve">, “Introduction”, </w:t>
      </w:r>
      <w:r>
        <w:rPr>
          <w:szCs w:val="21"/>
        </w:rPr>
        <w:t xml:space="preserve">see Walter Brogan &amp; James Risser edited, </w:t>
      </w:r>
      <w:r w:rsidRPr="002B29C0">
        <w:rPr>
          <w:i/>
          <w:szCs w:val="21"/>
        </w:rPr>
        <w:t>American Continental Philosophy: A Reader</w:t>
      </w:r>
      <w:r>
        <w:rPr>
          <w:szCs w:val="21"/>
        </w:rPr>
        <w:t xml:space="preserve">, </w:t>
      </w:r>
      <w:proofErr w:type="gramStart"/>
      <w:r>
        <w:rPr>
          <w:szCs w:val="21"/>
        </w:rPr>
        <w:t>Bloomington</w:t>
      </w:r>
      <w:proofErr w:type="gramEnd"/>
      <w:r>
        <w:rPr>
          <w:szCs w:val="21"/>
        </w:rPr>
        <w:t xml:space="preserve"> and Indianapolis: Indiana University Press, 2000, p. 4.</w:t>
      </w:r>
    </w:p>
  </w:footnote>
  <w:footnote w:id="12">
    <w:p w14:paraId="35215C67" w14:textId="77777777" w:rsidR="00A06B54" w:rsidRPr="00CF6DFB" w:rsidRDefault="00A06B54" w:rsidP="00A06B54">
      <w:pPr>
        <w:pStyle w:val="Funotentext"/>
        <w:jc w:val="both"/>
      </w:pPr>
      <w:r>
        <w:rPr>
          <w:rStyle w:val="Funotenzeichen"/>
        </w:rPr>
        <w:footnoteRef/>
      </w:r>
      <w:r>
        <w:t xml:space="preserve"> Jacques Derrida, </w:t>
      </w:r>
      <w:r w:rsidRPr="00CF6DFB">
        <w:rPr>
          <w:i/>
        </w:rPr>
        <w:t>A</w:t>
      </w:r>
      <w:r>
        <w:rPr>
          <w:i/>
        </w:rPr>
        <w:t>dieu</w:t>
      </w:r>
      <w:r w:rsidRPr="00CF6DFB">
        <w:rPr>
          <w:i/>
        </w:rPr>
        <w:t xml:space="preserve"> to Emmanuel Levinas</w:t>
      </w:r>
      <w:r>
        <w:t>, translated by Pascale-Anne Brault and Michael Naas, Stanford: Stanford University Press, 1999, p. 63.</w:t>
      </w:r>
    </w:p>
  </w:footnote>
  <w:footnote w:id="13">
    <w:p w14:paraId="5BE2A585" w14:textId="77777777" w:rsidR="00A06B54" w:rsidRPr="001D202E" w:rsidRDefault="00A06B54" w:rsidP="00A06B54">
      <w:pPr>
        <w:pStyle w:val="Funotentext"/>
        <w:jc w:val="both"/>
      </w:pPr>
      <w:r w:rsidRPr="001D202E">
        <w:rPr>
          <w:rStyle w:val="Funotenzeichen"/>
        </w:rPr>
        <w:footnoteRef/>
      </w:r>
      <w:r w:rsidRPr="001D202E">
        <w:t xml:space="preserve"> </w:t>
      </w:r>
      <w:r>
        <w:t>Ibid.</w:t>
      </w:r>
      <w:r w:rsidRPr="001D202E">
        <w:t>, p. 58.</w:t>
      </w:r>
    </w:p>
  </w:footnote>
  <w:footnote w:id="14">
    <w:p w14:paraId="20F4D1CF" w14:textId="77777777" w:rsidR="00A06B54" w:rsidRPr="00B22196" w:rsidRDefault="00A06B54" w:rsidP="00A06B54">
      <w:pPr>
        <w:pStyle w:val="Funotentext"/>
        <w:ind w:firstLine="360"/>
        <w:jc w:val="both"/>
      </w:pPr>
      <w:r w:rsidRPr="00B22196">
        <w:rPr>
          <w:rStyle w:val="Funotenzeichen"/>
          <w:rFonts w:eastAsia="PMingLiU"/>
        </w:rPr>
        <w:footnoteRef/>
      </w:r>
      <w:r>
        <w:rPr>
          <w:rFonts w:hint="eastAsia"/>
        </w:rPr>
        <w:t xml:space="preserve"> </w:t>
      </w:r>
      <w:r w:rsidRPr="00B22196">
        <w:t xml:space="preserve">Arvind Sharma, </w:t>
      </w:r>
      <w:r w:rsidRPr="00B22196">
        <w:rPr>
          <w:i/>
        </w:rPr>
        <w:t xml:space="preserve">Religious </w:t>
      </w:r>
      <w:proofErr w:type="gramStart"/>
      <w:r w:rsidRPr="00B22196">
        <w:rPr>
          <w:i/>
        </w:rPr>
        <w:t>Studies</w:t>
      </w:r>
      <w:proofErr w:type="gramEnd"/>
      <w:r w:rsidRPr="00B22196">
        <w:rPr>
          <w:i/>
        </w:rPr>
        <w:t xml:space="preserve"> and Comparative Methodology: The Case for Reciprocal Illumination</w:t>
      </w:r>
      <w:r>
        <w:t xml:space="preserve">, </w:t>
      </w:r>
      <w:r w:rsidRPr="00B22196">
        <w:t>Albany: State University of New York Press, 2005.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54"/>
    <w:rsid w:val="00123CCD"/>
    <w:rsid w:val="0016380B"/>
    <w:rsid w:val="002F0DF2"/>
    <w:rsid w:val="004D5A46"/>
    <w:rsid w:val="00522780"/>
    <w:rsid w:val="006A3596"/>
    <w:rsid w:val="006B4E66"/>
    <w:rsid w:val="009F447E"/>
    <w:rsid w:val="00A06B54"/>
    <w:rsid w:val="00C47EF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DED64F5"/>
  <w15:chartTrackingRefBased/>
  <w15:docId w15:val="{2E268AD8-D7FC-3248-AB6A-858F7E04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6B54"/>
    <w:pPr>
      <w:widowControl w:val="0"/>
      <w:jc w:val="both"/>
    </w:pPr>
    <w:rPr>
      <w:rFonts w:ascii="Calibri" w:eastAsia="SimSun" w:hAnsi="Calibri" w:cs="Times New Roman"/>
      <w:kern w:val="2"/>
      <w:sz w:val="21"/>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aliases w:val="脚注文本 Char Char Char Char Char Char Char Char Char Char Char Char Char Char Char Char Char Char Char Char Char Char Char Char Char Char Char Char Char Char Char,fußn,II"/>
    <w:basedOn w:val="Standard"/>
    <w:link w:val="FunotentextZchn"/>
    <w:qFormat/>
    <w:rsid w:val="00A06B54"/>
    <w:pPr>
      <w:snapToGrid w:val="0"/>
      <w:jc w:val="left"/>
    </w:pPr>
    <w:rPr>
      <w:rFonts w:ascii="Times New Roman" w:hAnsi="Times New Roman"/>
      <w:sz w:val="18"/>
      <w:szCs w:val="18"/>
    </w:rPr>
  </w:style>
  <w:style w:type="character" w:customStyle="1" w:styleId="FunotentextZchn">
    <w:name w:val="Fußnotentext Zchn"/>
    <w:aliases w:val="脚注文本 Char Char Char Char Char Char Char Char Char Char Char Char Char Char Char Char Char Char Char Char Char Char Char Char Char Char Char Char Char Char Char Zchn,fußn Zchn,II Zchn"/>
    <w:basedOn w:val="Absatz-Standardschriftart"/>
    <w:link w:val="Funotentext"/>
    <w:qFormat/>
    <w:rsid w:val="00A06B54"/>
    <w:rPr>
      <w:rFonts w:ascii="Times New Roman" w:eastAsia="SimSun" w:hAnsi="Times New Roman" w:cs="Times New Roman"/>
      <w:kern w:val="2"/>
      <w:sz w:val="18"/>
      <w:szCs w:val="18"/>
      <w:lang w:val="en-US"/>
    </w:rPr>
  </w:style>
  <w:style w:type="character" w:styleId="Funotenzeichen">
    <w:name w:val="footnote reference"/>
    <w:aliases w:val="Fußnotenzeichenbuch,Reference number style"/>
    <w:qFormat/>
    <w:rsid w:val="00A06B54"/>
    <w:rPr>
      <w:vertAlign w:val="superscript"/>
    </w:rPr>
  </w:style>
  <w:style w:type="paragraph" w:styleId="NurText">
    <w:name w:val="Plain Text"/>
    <w:basedOn w:val="Standard"/>
    <w:link w:val="NurTextZchn"/>
    <w:rsid w:val="00A06B54"/>
    <w:rPr>
      <w:rFonts w:ascii="SimSun" w:hAnsi="Courier New"/>
      <w:szCs w:val="20"/>
      <w:lang w:val="x-none" w:eastAsia="x-none"/>
    </w:rPr>
  </w:style>
  <w:style w:type="character" w:customStyle="1" w:styleId="NurTextZchn">
    <w:name w:val="Nur Text Zchn"/>
    <w:basedOn w:val="Absatz-Standardschriftart"/>
    <w:link w:val="NurText"/>
    <w:rsid w:val="00A06B54"/>
    <w:rPr>
      <w:rFonts w:ascii="SimSun" w:eastAsia="SimSun" w:hAnsi="Courier New" w:cs="Times New Roman"/>
      <w:kern w:val="2"/>
      <w:sz w:val="21"/>
      <w:szCs w:val="20"/>
      <w:lang w:val="x-none" w:eastAsia="x-none"/>
    </w:rPr>
  </w:style>
  <w:style w:type="character" w:customStyle="1" w:styleId="smcs">
    <w:name w:val="smcs"/>
    <w:rsid w:val="00A06B54"/>
  </w:style>
  <w:style w:type="character" w:styleId="Zeilennummer">
    <w:name w:val="line number"/>
    <w:basedOn w:val="Absatz-Standardschriftart"/>
    <w:uiPriority w:val="99"/>
    <w:semiHidden/>
    <w:unhideWhenUsed/>
    <w:rsid w:val="00A06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845</Words>
  <Characters>5324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3</cp:revision>
  <dcterms:created xsi:type="dcterms:W3CDTF">2022-05-30T20:37:00Z</dcterms:created>
  <dcterms:modified xsi:type="dcterms:W3CDTF">2022-05-30T20:44:00Z</dcterms:modified>
</cp:coreProperties>
</file>