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DC50" w14:textId="77777777" w:rsidR="000C5022" w:rsidRPr="00915C57" w:rsidRDefault="000C5022" w:rsidP="000C5022">
      <w:pPr>
        <w:shd w:val="clear" w:color="auto" w:fill="FFFFFF"/>
        <w:spacing w:before="120" w:after="120"/>
        <w:jc w:val="center"/>
        <w:rPr>
          <w:rFonts w:eastAsia="Times New Roman"/>
          <w:b/>
          <w:bCs/>
          <w:color w:val="393939"/>
          <w:sz w:val="32"/>
          <w:szCs w:val="32"/>
        </w:rPr>
      </w:pPr>
      <w:proofErr w:type="spellStart"/>
      <w:r w:rsidRPr="00915C57">
        <w:rPr>
          <w:rFonts w:eastAsia="Times New Roman"/>
          <w:b/>
          <w:bCs/>
          <w:color w:val="393939"/>
          <w:sz w:val="32"/>
          <w:szCs w:val="32"/>
          <w:lang w:eastAsia="en-GB"/>
        </w:rPr>
        <w:t>contract</w:t>
      </w:r>
      <w:proofErr w:type="spellEnd"/>
      <w:r w:rsidRPr="00915C57">
        <w:rPr>
          <w:rFonts w:eastAsia="Times New Roman"/>
          <w:b/>
          <w:bCs/>
          <w:color w:val="393939"/>
          <w:sz w:val="32"/>
          <w:szCs w:val="32"/>
          <w:lang w:eastAsia="en-GB"/>
        </w:rPr>
        <w:t>/</w:t>
      </w:r>
      <w:r w:rsidRPr="00EC57E8">
        <w:rPr>
          <w:rFonts w:ascii="Songti TC" w:eastAsia="Songti TC" w:hAnsi="Songti TC"/>
          <w:b/>
          <w:bCs/>
          <w:color w:val="393939"/>
          <w:sz w:val="32"/>
          <w:szCs w:val="32"/>
        </w:rPr>
        <w:t>约</w:t>
      </w:r>
      <w:r w:rsidRPr="00915C57">
        <w:rPr>
          <w:b/>
          <w:bCs/>
          <w:color w:val="393939"/>
          <w:sz w:val="32"/>
          <w:szCs w:val="32"/>
        </w:rPr>
        <w:t>(</w:t>
      </w:r>
      <w:proofErr w:type="spellStart"/>
      <w:r w:rsidRPr="00915C57">
        <w:rPr>
          <w:b/>
          <w:bCs/>
          <w:color w:val="393939"/>
          <w:sz w:val="32"/>
          <w:szCs w:val="32"/>
        </w:rPr>
        <w:t>Yuē</w:t>
      </w:r>
      <w:proofErr w:type="spellEnd"/>
      <w:r w:rsidRPr="00915C57">
        <w:rPr>
          <w:b/>
          <w:bCs/>
          <w:color w:val="393939"/>
          <w:sz w:val="32"/>
          <w:szCs w:val="32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3009"/>
        <w:gridCol w:w="3007"/>
      </w:tblGrid>
      <w:tr w:rsidR="000C5022" w14:paraId="46C29812" w14:textId="77777777" w:rsidTr="00F90CB9">
        <w:trPr>
          <w:jc w:val="center"/>
        </w:trPr>
        <w:tc>
          <w:tcPr>
            <w:tcW w:w="3020" w:type="dxa"/>
          </w:tcPr>
          <w:p w14:paraId="62D0DCC0" w14:textId="77777777" w:rsidR="000C5022" w:rsidRPr="00EC57E8" w:rsidRDefault="000C5022" w:rsidP="00F90CB9">
            <w:pPr>
              <w:jc w:val="center"/>
              <w:rPr>
                <w:rFonts w:ascii="Times New Roman" w:hAnsi="Times New Roman" w:cs="Times New Roman"/>
              </w:rPr>
            </w:pPr>
            <w:r w:rsidRPr="00EC57E8">
              <w:rPr>
                <w:rFonts w:ascii="Times New Roman" w:hAnsi="Times New Roman" w:cs="Times New Roman"/>
              </w:rPr>
              <w:t xml:space="preserve">European </w:t>
            </w:r>
            <w:proofErr w:type="spellStart"/>
            <w:r w:rsidRPr="00EC57E8">
              <w:rPr>
                <w:rFonts w:ascii="Times New Roman" w:hAnsi="Times New Roman" w:cs="Times New Roman"/>
              </w:rPr>
              <w:t>Perspective</w:t>
            </w:r>
            <w:proofErr w:type="spellEnd"/>
          </w:p>
        </w:tc>
        <w:tc>
          <w:tcPr>
            <w:tcW w:w="3021" w:type="dxa"/>
          </w:tcPr>
          <w:p w14:paraId="01B19CFA" w14:textId="77777777" w:rsidR="000C5022" w:rsidRPr="00EC57E8" w:rsidRDefault="000C5022" w:rsidP="00F90CB9">
            <w:pPr>
              <w:jc w:val="center"/>
              <w:rPr>
                <w:rFonts w:ascii="Times New Roman" w:hAnsi="Times New Roman" w:cs="Times New Roman"/>
              </w:rPr>
            </w:pPr>
            <w:r w:rsidRPr="00EC57E8">
              <w:rPr>
                <w:rFonts w:ascii="Times New Roman" w:hAnsi="Times New Roman" w:cs="Times New Roman"/>
              </w:rPr>
              <w:t xml:space="preserve">Jean-Luc </w:t>
            </w:r>
            <w:proofErr w:type="spellStart"/>
            <w:r w:rsidRPr="00EC57E8">
              <w:rPr>
                <w:rFonts w:ascii="Times New Roman" w:hAnsi="Times New Roman" w:cs="Times New Roman"/>
              </w:rPr>
              <w:t>Mathon</w:t>
            </w:r>
            <w:proofErr w:type="spellEnd"/>
          </w:p>
        </w:tc>
        <w:tc>
          <w:tcPr>
            <w:tcW w:w="3021" w:type="dxa"/>
          </w:tcPr>
          <w:p w14:paraId="15DFD387" w14:textId="3E0CC6EF" w:rsidR="000C5022" w:rsidRPr="00EC57E8" w:rsidRDefault="000C5022" w:rsidP="00F9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  <w:r>
              <w:rPr>
                <w:rFonts w:ascii="Times New Roman" w:hAnsi="Times New Roman" w:cs="Times New Roman" w:hint="eastAsia"/>
              </w:rPr>
              <w:t>May</w:t>
            </w:r>
            <w:r w:rsidRPr="00EC57E8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p w14:paraId="730A3F15" w14:textId="1E9AF59C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契约，或合同（</w:t>
      </w:r>
      <w:r w:rsidRPr="00720D87">
        <w:rPr>
          <w:rFonts w:eastAsia="Songti TC"/>
          <w:sz w:val="24"/>
          <w:szCs w:val="24"/>
          <w:lang w:val="en-US"/>
        </w:rPr>
        <w:t>contract</w:t>
      </w:r>
      <w:r w:rsidRPr="00720D87">
        <w:rPr>
          <w:rFonts w:eastAsia="Songti TC"/>
          <w:sz w:val="24"/>
          <w:szCs w:val="24"/>
          <w:lang w:val="en-US"/>
        </w:rPr>
        <w:t>）一词，来源于拉丁语中的法律用语</w:t>
      </w:r>
      <w:r w:rsidRPr="00720D87">
        <w:rPr>
          <w:rFonts w:eastAsia="Songti TC"/>
          <w:sz w:val="24"/>
          <w:szCs w:val="24"/>
          <w:lang w:val="en-US"/>
        </w:rPr>
        <w:t>"</w:t>
      </w:r>
      <w:proofErr w:type="spellStart"/>
      <w:r w:rsidRPr="00720D87">
        <w:rPr>
          <w:rFonts w:eastAsia="Songti TC"/>
          <w:sz w:val="24"/>
          <w:szCs w:val="24"/>
          <w:lang w:val="en-US"/>
        </w:rPr>
        <w:t>contractus</w:t>
      </w:r>
      <w:proofErr w:type="spellEnd"/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，即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公约、协定、协议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，这一词源自于</w:t>
      </w:r>
      <w:proofErr w:type="spellStart"/>
      <w:r w:rsidRPr="00720D87">
        <w:rPr>
          <w:rFonts w:eastAsia="Songti TC"/>
          <w:sz w:val="24"/>
          <w:szCs w:val="24"/>
          <w:lang w:val="en-US"/>
        </w:rPr>
        <w:t>contrahere</w:t>
      </w:r>
      <w:proofErr w:type="spellEnd"/>
      <w:r w:rsidRPr="00720D87">
        <w:rPr>
          <w:rFonts w:eastAsia="Songti TC"/>
          <w:sz w:val="24"/>
          <w:szCs w:val="24"/>
          <w:lang w:val="en-US"/>
        </w:rPr>
        <w:t>，即</w:t>
      </w:r>
      <w:r w:rsidRPr="00720D87">
        <w:rPr>
          <w:rFonts w:eastAsia="Songti TC"/>
          <w:sz w:val="24"/>
          <w:szCs w:val="24"/>
          <w:lang w:val="en-US"/>
        </w:rPr>
        <w:t xml:space="preserve"> "</w:t>
      </w:r>
      <w:r w:rsidRPr="00720D87">
        <w:rPr>
          <w:rFonts w:eastAsia="Songti TC"/>
          <w:sz w:val="24"/>
          <w:szCs w:val="24"/>
          <w:lang w:val="en-US"/>
        </w:rPr>
        <w:t>作出承诺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，表示两个或更多的意图达成一致，以创生一种义务。它经常伴随着一个形容或补充的部分，以说明契约的性质（婚姻契约</w:t>
      </w:r>
      <w:r w:rsidRPr="00720D87">
        <w:rPr>
          <w:rFonts w:eastAsia="Songti TC"/>
          <w:sz w:val="24"/>
          <w:szCs w:val="24"/>
          <w:lang w:val="en-US"/>
        </w:rPr>
        <w:t>1672</w:t>
      </w:r>
      <w:r w:rsidRPr="00720D87">
        <w:rPr>
          <w:rFonts w:eastAsia="Songti TC"/>
          <w:sz w:val="24"/>
          <w:szCs w:val="24"/>
          <w:lang w:val="en-US"/>
        </w:rPr>
        <w:t>）。后来，它又迈向了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敲定契约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这一表达方式（</w:t>
      </w:r>
      <w:r w:rsidRPr="00720D87">
        <w:rPr>
          <w:rFonts w:eastAsia="Songti TC"/>
          <w:sz w:val="24"/>
          <w:szCs w:val="24"/>
          <w:lang w:val="en-US"/>
        </w:rPr>
        <w:t>1877</w:t>
      </w:r>
      <w:r w:rsidRPr="00720D87">
        <w:rPr>
          <w:rFonts w:eastAsia="Songti TC"/>
          <w:sz w:val="24"/>
          <w:szCs w:val="24"/>
          <w:lang w:val="en-US"/>
        </w:rPr>
        <w:t>年）（见阿兰</w:t>
      </w:r>
      <w:r w:rsidRPr="00720D87">
        <w:rPr>
          <w:rFonts w:eastAsia="Songti TC"/>
          <w:sz w:val="24"/>
          <w:szCs w:val="24"/>
          <w:lang w:val="en-US"/>
        </w:rPr>
        <w:t>-</w:t>
      </w:r>
      <w:r w:rsidRPr="00720D87">
        <w:rPr>
          <w:rFonts w:eastAsia="Songti TC"/>
          <w:sz w:val="24"/>
          <w:szCs w:val="24"/>
          <w:lang w:val="en-US"/>
        </w:rPr>
        <w:t>雷伊的法语历史词典，</w:t>
      </w:r>
      <w:r w:rsidRPr="00720D87">
        <w:rPr>
          <w:rFonts w:eastAsia="Songti TC"/>
          <w:sz w:val="24"/>
          <w:szCs w:val="24"/>
          <w:lang w:val="en-US"/>
        </w:rPr>
        <w:t>LE ROBERT</w:t>
      </w:r>
      <w:r w:rsidRPr="00720D87">
        <w:rPr>
          <w:rFonts w:eastAsia="Songti TC"/>
          <w:sz w:val="24"/>
          <w:szCs w:val="24"/>
          <w:lang w:val="en-US"/>
        </w:rPr>
        <w:t>版）。</w:t>
      </w:r>
    </w:p>
    <w:p w14:paraId="2194EEF9" w14:textId="77777777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主要内容</w:t>
      </w:r>
    </w:p>
    <w:p w14:paraId="69A07F7A" w14:textId="146022BD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广义的契约概念，包括私人契约、公共契约、章程、伙伴协定、社会伙伴之间的集体协议、条约和国际公约。</w:t>
      </w:r>
    </w:p>
    <w:p w14:paraId="4D474DED" w14:textId="77777777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所有这些行为的共同点是，它们是谈判的结果，至少是默许的结果，表达了各方的准可，以期实现共同的目标。</w:t>
      </w:r>
    </w:p>
    <w:p w14:paraId="4385586F" w14:textId="39CD3538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在</w:t>
      </w:r>
      <w:r w:rsidRPr="00720D87">
        <w:rPr>
          <w:rFonts w:eastAsia="Songti TC"/>
          <w:sz w:val="24"/>
          <w:szCs w:val="24"/>
          <w:lang w:val="en-US"/>
        </w:rPr>
        <w:t xml:space="preserve"> "</w:t>
      </w:r>
      <w:r w:rsidRPr="00720D87">
        <w:rPr>
          <w:rFonts w:eastAsia="Songti TC"/>
          <w:sz w:val="24"/>
          <w:szCs w:val="24"/>
          <w:lang w:val="en-US"/>
        </w:rPr>
        <w:t>社会契约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的意义上，法令、宪法宪章和法律也可以被视作契约，根据这些契约，人民接受保证他们安全的规则（让</w:t>
      </w:r>
      <w:r w:rsidRPr="00720D87">
        <w:rPr>
          <w:rFonts w:eastAsia="Songti TC"/>
          <w:sz w:val="24"/>
          <w:szCs w:val="24"/>
          <w:lang w:val="en-US"/>
        </w:rPr>
        <w:t>·</w:t>
      </w:r>
      <w:r w:rsidRPr="00720D87">
        <w:rPr>
          <w:rFonts w:eastAsia="Songti TC"/>
          <w:sz w:val="24"/>
          <w:szCs w:val="24"/>
          <w:lang w:val="en-US"/>
        </w:rPr>
        <w:t>雅克</w:t>
      </w:r>
      <w:r w:rsidRPr="00720D87">
        <w:rPr>
          <w:rFonts w:eastAsia="Songti TC"/>
          <w:sz w:val="24"/>
          <w:szCs w:val="24"/>
          <w:lang w:val="en-US"/>
        </w:rPr>
        <w:t>·</w:t>
      </w:r>
      <w:r w:rsidRPr="00720D87">
        <w:rPr>
          <w:rFonts w:eastAsia="Songti TC"/>
          <w:sz w:val="24"/>
          <w:szCs w:val="24"/>
          <w:lang w:val="en-US"/>
        </w:rPr>
        <w:t>卢梭在</w:t>
      </w:r>
      <w:r w:rsidRPr="00720D87">
        <w:rPr>
          <w:rFonts w:eastAsia="Songti TC"/>
          <w:sz w:val="24"/>
          <w:szCs w:val="24"/>
          <w:lang w:val="en-US"/>
        </w:rPr>
        <w:t>1743-1744</w:t>
      </w:r>
      <w:r w:rsidRPr="00720D87">
        <w:rPr>
          <w:rFonts w:eastAsia="Songti TC"/>
          <w:sz w:val="24"/>
          <w:szCs w:val="24"/>
          <w:lang w:val="en-US"/>
        </w:rPr>
        <w:t>年担任法国驻威尼斯大使的秘书时，受到了威尼斯共和国的启发）。</w:t>
      </w:r>
    </w:p>
    <w:p w14:paraId="6D9E8445" w14:textId="77777777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这个概念在不同的文化场合中，有着不同的理解。在每个国家，契约由一个特定的法律体系管理，有其自己的法律规则，以规范其形成和履行。</w:t>
      </w:r>
    </w:p>
    <w:p w14:paraId="7545451F" w14:textId="77777777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法律实际上是作为一种语言存在，而对话者通过商定他们认为的共有的定义，认为他们在说或写同样的事情，而这些定义则掩饰了歧义和误解。</w:t>
      </w:r>
    </w:p>
    <w:p w14:paraId="7D79B26A" w14:textId="5C395319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对于让</w:t>
      </w:r>
      <w:r w:rsidRPr="00720D87">
        <w:rPr>
          <w:rFonts w:eastAsia="Songti TC"/>
          <w:sz w:val="24"/>
          <w:szCs w:val="24"/>
          <w:lang w:val="en-US"/>
        </w:rPr>
        <w:t>·</w:t>
      </w:r>
      <w:r w:rsidRPr="00720D87">
        <w:rPr>
          <w:rFonts w:eastAsia="Songti TC"/>
          <w:sz w:val="24"/>
          <w:szCs w:val="24"/>
          <w:lang w:val="en-US"/>
        </w:rPr>
        <w:t>雅克</w:t>
      </w:r>
      <w:r w:rsidRPr="00720D87">
        <w:rPr>
          <w:rFonts w:eastAsia="Songti TC"/>
          <w:sz w:val="24"/>
          <w:szCs w:val="24"/>
          <w:lang w:val="en-US"/>
        </w:rPr>
        <w:t>·</w:t>
      </w:r>
      <w:r w:rsidRPr="00720D87">
        <w:rPr>
          <w:rFonts w:eastAsia="Songti TC"/>
          <w:sz w:val="24"/>
          <w:szCs w:val="24"/>
          <w:lang w:val="en-US"/>
        </w:rPr>
        <w:t>卢梭来说，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误解是交流的正常形式，因为即使在你自己的话语中</w:t>
      </w:r>
      <w:r w:rsidRPr="00720D87">
        <w:rPr>
          <w:rFonts w:eastAsia="Songti TC"/>
          <w:sz w:val="24"/>
          <w:szCs w:val="24"/>
          <w:lang w:val="en-US"/>
        </w:rPr>
        <w:t>,</w:t>
      </w:r>
      <w:r w:rsidRPr="00720D87">
        <w:rPr>
          <w:rFonts w:eastAsia="Songti TC"/>
          <w:sz w:val="24"/>
          <w:szCs w:val="24"/>
          <w:lang w:val="en-US"/>
        </w:rPr>
        <w:t>也无法读出意图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（</w:t>
      </w:r>
      <w:r w:rsidRPr="00720D87">
        <w:rPr>
          <w:rFonts w:eastAsia="Songti TC"/>
          <w:sz w:val="24"/>
          <w:szCs w:val="24"/>
          <w:lang w:val="en-US"/>
        </w:rPr>
        <w:t>The misunderstanding in the Essay on the Origin of Languages by Rousseau</w:t>
      </w:r>
      <w:r w:rsidRPr="00720D87">
        <w:rPr>
          <w:rFonts w:eastAsia="Songti TC"/>
          <w:sz w:val="24"/>
          <w:szCs w:val="24"/>
          <w:lang w:val="en-US"/>
        </w:rPr>
        <w:lastRenderedPageBreak/>
        <w:t>（对卢梭《语言起源论》一文的误解）</w:t>
      </w:r>
      <w:r w:rsidRPr="00720D87">
        <w:rPr>
          <w:rFonts w:eastAsia="Songti TC"/>
          <w:sz w:val="24"/>
          <w:szCs w:val="24"/>
          <w:lang w:val="en-US"/>
        </w:rPr>
        <w:t>,</w:t>
      </w:r>
      <w:r w:rsidRPr="00720D87">
        <w:rPr>
          <w:rFonts w:eastAsia="Songti TC"/>
          <w:sz w:val="24"/>
          <w:szCs w:val="24"/>
          <w:lang w:val="en-US"/>
        </w:rPr>
        <w:t>乔纳森</w:t>
      </w:r>
      <w:r w:rsidRPr="00720D87">
        <w:rPr>
          <w:rFonts w:eastAsia="Songti TC"/>
          <w:sz w:val="24"/>
          <w:szCs w:val="24"/>
          <w:lang w:val="en-US"/>
        </w:rPr>
        <w:t>·</w:t>
      </w:r>
      <w:r w:rsidRPr="00720D87">
        <w:rPr>
          <w:rFonts w:eastAsia="Songti TC"/>
          <w:sz w:val="24"/>
          <w:szCs w:val="24"/>
          <w:lang w:val="en-US"/>
        </w:rPr>
        <w:t>特施纳（</w:t>
      </w:r>
      <w:r w:rsidRPr="00720D87">
        <w:rPr>
          <w:rFonts w:eastAsia="Songti TC"/>
          <w:sz w:val="24"/>
          <w:szCs w:val="24"/>
          <w:lang w:val="en-US"/>
        </w:rPr>
        <w:t xml:space="preserve">Jonathan </w:t>
      </w:r>
      <w:proofErr w:type="spellStart"/>
      <w:r w:rsidRPr="00720D87">
        <w:rPr>
          <w:rFonts w:eastAsia="Songti TC"/>
          <w:sz w:val="24"/>
          <w:szCs w:val="24"/>
          <w:lang w:val="en-US"/>
        </w:rPr>
        <w:t>Teschner</w:t>
      </w:r>
      <w:proofErr w:type="spellEnd"/>
      <w:r w:rsidRPr="00720D87">
        <w:rPr>
          <w:rFonts w:eastAsia="Songti TC"/>
          <w:sz w:val="24"/>
          <w:szCs w:val="24"/>
          <w:lang w:val="en-US"/>
        </w:rPr>
        <w:t>）</w:t>
      </w:r>
      <w:r w:rsidRPr="00720D87">
        <w:rPr>
          <w:rFonts w:eastAsia="Songti TC"/>
          <w:sz w:val="24"/>
          <w:szCs w:val="24"/>
          <w:lang w:val="en-US"/>
        </w:rPr>
        <w:t>,University from Reims Champagne-</w:t>
      </w:r>
      <w:proofErr w:type="spellStart"/>
      <w:r w:rsidRPr="00720D87">
        <w:rPr>
          <w:rFonts w:eastAsia="Songti TC"/>
          <w:sz w:val="24"/>
          <w:szCs w:val="24"/>
          <w:lang w:val="en-US"/>
        </w:rPr>
        <w:t>Adenne</w:t>
      </w:r>
      <w:proofErr w:type="spellEnd"/>
      <w:r w:rsidRPr="00720D87">
        <w:rPr>
          <w:rFonts w:eastAsia="Songti TC"/>
          <w:sz w:val="24"/>
          <w:szCs w:val="24"/>
          <w:lang w:val="en-US"/>
        </w:rPr>
        <w:t>, CIRLEP EA 4299</w:t>
      </w:r>
      <w:r w:rsidRPr="00720D87">
        <w:rPr>
          <w:rFonts w:eastAsia="Songti TC"/>
          <w:sz w:val="24"/>
          <w:szCs w:val="24"/>
          <w:lang w:val="en-US"/>
        </w:rPr>
        <w:t>）。</w:t>
      </w:r>
    </w:p>
    <w:p w14:paraId="70FCEA4C" w14:textId="77777777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在法国语境中</w:t>
      </w:r>
    </w:p>
    <w:p w14:paraId="31B56849" w14:textId="5A6C13B4" w:rsidR="00254707" w:rsidRPr="00720D87" w:rsidRDefault="00254707" w:rsidP="00720D87">
      <w:pPr>
        <w:spacing w:before="120" w:after="120"/>
        <w:ind w:firstLine="488"/>
        <w:rPr>
          <w:rFonts w:eastAsia="Songti TC" w:hint="eastAsia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我们将考察以下三点：</w:t>
      </w:r>
      <w:r w:rsidRPr="00720D87">
        <w:rPr>
          <w:rFonts w:eastAsia="Songti TC"/>
          <w:sz w:val="24"/>
          <w:szCs w:val="24"/>
          <w:lang w:val="en-US"/>
        </w:rPr>
        <w:t>1.</w:t>
      </w:r>
      <w:r w:rsidRPr="00720D87">
        <w:rPr>
          <w:rFonts w:eastAsia="Songti TC"/>
          <w:sz w:val="24"/>
          <w:szCs w:val="24"/>
          <w:lang w:val="en-US"/>
        </w:rPr>
        <w:t>其历史渊源</w:t>
      </w:r>
      <w:r w:rsidR="00720D87">
        <w:rPr>
          <w:rFonts w:eastAsia="Songti TC" w:hint="eastAsia"/>
          <w:sz w:val="24"/>
          <w:szCs w:val="24"/>
          <w:lang w:val="en-US"/>
        </w:rPr>
        <w:t>；</w:t>
      </w:r>
      <w:r w:rsidRPr="00720D87">
        <w:rPr>
          <w:rFonts w:eastAsia="Songti TC"/>
          <w:sz w:val="24"/>
          <w:szCs w:val="24"/>
          <w:lang w:val="en-US"/>
        </w:rPr>
        <w:t>2.</w:t>
      </w:r>
      <w:r w:rsidRPr="00720D87">
        <w:rPr>
          <w:rFonts w:eastAsia="Songti TC"/>
          <w:sz w:val="24"/>
          <w:szCs w:val="24"/>
          <w:lang w:val="en-US"/>
        </w:rPr>
        <w:t>契约的前提是共同的意图</w:t>
      </w:r>
      <w:r w:rsidR="00720D87">
        <w:rPr>
          <w:rFonts w:eastAsia="Songti TC" w:hint="eastAsia"/>
          <w:sz w:val="24"/>
          <w:szCs w:val="24"/>
          <w:lang w:val="en-US"/>
        </w:rPr>
        <w:t>；</w:t>
      </w:r>
      <w:r w:rsidRPr="00720D87">
        <w:rPr>
          <w:rFonts w:eastAsia="Songti TC"/>
          <w:sz w:val="24"/>
          <w:szCs w:val="24"/>
          <w:lang w:val="en-US"/>
        </w:rPr>
        <w:t>3.</w:t>
      </w:r>
      <w:r w:rsidRPr="00720D87">
        <w:rPr>
          <w:rFonts w:eastAsia="Songti TC"/>
          <w:sz w:val="24"/>
          <w:szCs w:val="24"/>
          <w:lang w:val="en-US"/>
        </w:rPr>
        <w:t>具有约束力</w:t>
      </w:r>
      <w:r w:rsidR="00720D87">
        <w:rPr>
          <w:rFonts w:eastAsia="Songti TC" w:hint="eastAsia"/>
          <w:sz w:val="24"/>
          <w:szCs w:val="24"/>
          <w:lang w:val="en-US"/>
        </w:rPr>
        <w:t>。</w:t>
      </w:r>
    </w:p>
    <w:p w14:paraId="176E89F8" w14:textId="3DDE7E2F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1</w:t>
      </w:r>
      <w:r w:rsidR="00BF298E" w:rsidRPr="00720D87">
        <w:rPr>
          <w:rFonts w:eastAsia="Songti TC"/>
          <w:sz w:val="24"/>
          <w:szCs w:val="24"/>
          <w:lang w:val="en-US"/>
        </w:rPr>
        <w:t>.</w:t>
      </w:r>
      <w:r w:rsidRPr="00720D87">
        <w:rPr>
          <w:rFonts w:eastAsia="Songti TC"/>
          <w:sz w:val="24"/>
          <w:szCs w:val="24"/>
          <w:lang w:val="en-US"/>
        </w:rPr>
        <w:t>历史渊源</w:t>
      </w:r>
    </w:p>
    <w:p w14:paraId="06AFB395" w14:textId="77777777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契约（</w:t>
      </w:r>
      <w:proofErr w:type="spellStart"/>
      <w:r w:rsidRPr="00720D87">
        <w:rPr>
          <w:rFonts w:eastAsia="Songti TC"/>
          <w:sz w:val="24"/>
          <w:szCs w:val="24"/>
          <w:lang w:val="en-US"/>
        </w:rPr>
        <w:t>contractus</w:t>
      </w:r>
      <w:proofErr w:type="spellEnd"/>
      <w:r w:rsidRPr="00720D87">
        <w:rPr>
          <w:rFonts w:eastAsia="Songti TC"/>
          <w:sz w:val="24"/>
          <w:szCs w:val="24"/>
          <w:lang w:val="en-US"/>
        </w:rPr>
        <w:t>）、公约（</w:t>
      </w:r>
      <w:proofErr w:type="spellStart"/>
      <w:r w:rsidRPr="00720D87">
        <w:rPr>
          <w:rFonts w:eastAsia="Songti TC"/>
          <w:sz w:val="24"/>
          <w:szCs w:val="24"/>
          <w:lang w:val="en-US"/>
        </w:rPr>
        <w:t>conventio</w:t>
      </w:r>
      <w:proofErr w:type="spellEnd"/>
      <w:r w:rsidRPr="00720D87">
        <w:rPr>
          <w:rFonts w:eastAsia="Songti TC"/>
          <w:sz w:val="24"/>
          <w:szCs w:val="24"/>
          <w:lang w:val="en-US"/>
        </w:rPr>
        <w:t>）这些术语，在欧洲法律体系中是同义词，或者是条约（</w:t>
      </w:r>
      <w:proofErr w:type="spellStart"/>
      <w:r w:rsidRPr="00720D87">
        <w:rPr>
          <w:rFonts w:eastAsia="Songti TC"/>
          <w:sz w:val="24"/>
          <w:szCs w:val="24"/>
          <w:lang w:val="en-US"/>
        </w:rPr>
        <w:t>tractatus</w:t>
      </w:r>
      <w:proofErr w:type="spellEnd"/>
      <w:r w:rsidRPr="00720D87">
        <w:rPr>
          <w:rFonts w:eastAsia="Songti TC"/>
          <w:sz w:val="24"/>
          <w:szCs w:val="24"/>
          <w:lang w:val="en-US"/>
        </w:rPr>
        <w:t>）这一自罗马法的术语亦然。</w:t>
      </w:r>
    </w:p>
    <w:p w14:paraId="1D890F5B" w14:textId="77777777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共和国的法律，以及此后的罗马帝国的法律，是千年以来理论演变的成果。它由一系列概念组成，如契约的概念（准可、解释、对象、错误），并根据希腊哲学所启发的逻辑结构，非常有条不紊地进行了分类：私法</w:t>
      </w:r>
      <w:r w:rsidRPr="00720D87">
        <w:rPr>
          <w:rFonts w:eastAsia="Songti TC"/>
          <w:sz w:val="24"/>
          <w:szCs w:val="24"/>
          <w:lang w:val="en-US"/>
        </w:rPr>
        <w:t>/</w:t>
      </w:r>
      <w:r w:rsidRPr="00720D87">
        <w:rPr>
          <w:rFonts w:eastAsia="Songti TC"/>
          <w:sz w:val="24"/>
          <w:szCs w:val="24"/>
          <w:lang w:val="en-US"/>
        </w:rPr>
        <w:t>公法；财产权</w:t>
      </w:r>
      <w:r w:rsidRPr="00720D87">
        <w:rPr>
          <w:rFonts w:eastAsia="Songti TC"/>
          <w:sz w:val="24"/>
          <w:szCs w:val="24"/>
          <w:lang w:val="en-US"/>
        </w:rPr>
        <w:t>/</w:t>
      </w:r>
      <w:r w:rsidRPr="00720D87">
        <w:rPr>
          <w:rFonts w:eastAsia="Songti TC"/>
          <w:sz w:val="24"/>
          <w:szCs w:val="24"/>
          <w:lang w:val="en-US"/>
        </w:rPr>
        <w:t>义务法；物权法</w:t>
      </w:r>
      <w:r w:rsidRPr="00720D87">
        <w:rPr>
          <w:rFonts w:eastAsia="Songti TC"/>
          <w:sz w:val="24"/>
          <w:szCs w:val="24"/>
          <w:lang w:val="en-US"/>
        </w:rPr>
        <w:t>/</w:t>
      </w:r>
      <w:r w:rsidRPr="00720D87">
        <w:rPr>
          <w:rFonts w:eastAsia="Songti TC"/>
          <w:sz w:val="24"/>
          <w:szCs w:val="24"/>
          <w:lang w:val="en-US"/>
        </w:rPr>
        <w:t>个人法；不动产</w:t>
      </w:r>
      <w:r w:rsidRPr="00720D87">
        <w:rPr>
          <w:rFonts w:eastAsia="Songti TC"/>
          <w:sz w:val="24"/>
          <w:szCs w:val="24"/>
          <w:lang w:val="en-US"/>
        </w:rPr>
        <w:t>/</w:t>
      </w:r>
      <w:r w:rsidRPr="00720D87">
        <w:rPr>
          <w:rFonts w:eastAsia="Songti TC"/>
          <w:sz w:val="24"/>
          <w:szCs w:val="24"/>
          <w:lang w:val="en-US"/>
        </w:rPr>
        <w:t>动产；正本</w:t>
      </w:r>
      <w:r w:rsidRPr="00720D87">
        <w:rPr>
          <w:rFonts w:eastAsia="Songti TC"/>
          <w:sz w:val="24"/>
          <w:szCs w:val="24"/>
          <w:lang w:val="en-US"/>
        </w:rPr>
        <w:t>/</w:t>
      </w:r>
      <w:r w:rsidRPr="00720D87">
        <w:rPr>
          <w:rFonts w:eastAsia="Songti TC"/>
          <w:sz w:val="24"/>
          <w:szCs w:val="24"/>
          <w:lang w:val="en-US"/>
        </w:rPr>
        <w:t>私人书写；规则</w:t>
      </w:r>
      <w:r w:rsidRPr="00720D87">
        <w:rPr>
          <w:rFonts w:eastAsia="Songti TC"/>
          <w:sz w:val="24"/>
          <w:szCs w:val="24"/>
          <w:lang w:val="en-US"/>
        </w:rPr>
        <w:t>/</w:t>
      </w:r>
      <w:r w:rsidRPr="00720D87">
        <w:rPr>
          <w:rFonts w:eastAsia="Songti TC"/>
          <w:sz w:val="24"/>
          <w:szCs w:val="24"/>
          <w:lang w:val="en-US"/>
        </w:rPr>
        <w:t>公平等等。</w:t>
      </w:r>
    </w:p>
    <w:p w14:paraId="2E1EE0B0" w14:textId="77777777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帝国覆灭后，罗马法一度经历了强烈的衰退，随后在</w:t>
      </w:r>
      <w:r w:rsidRPr="00720D87">
        <w:rPr>
          <w:rFonts w:eastAsia="Songti TC"/>
          <w:sz w:val="24"/>
          <w:szCs w:val="24"/>
          <w:lang w:val="en-US"/>
        </w:rPr>
        <w:t>11</w:t>
      </w:r>
      <w:r w:rsidRPr="00720D87">
        <w:rPr>
          <w:rFonts w:eastAsia="Songti TC"/>
          <w:sz w:val="24"/>
          <w:szCs w:val="24"/>
          <w:lang w:val="en-US"/>
        </w:rPr>
        <w:t>世纪随着博洛尼亚大学的发展，以及查士丁尼大帝的法典全文（文摘）的重新发现而重生。</w:t>
      </w:r>
    </w:p>
    <w:p w14:paraId="719E967A" w14:textId="77777777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这部成文法的结构则在未来的几个世纪内被罗马</w:t>
      </w:r>
      <w:r w:rsidRPr="00720D87">
        <w:rPr>
          <w:rFonts w:eastAsia="Songti TC"/>
          <w:sz w:val="24"/>
          <w:szCs w:val="24"/>
          <w:lang w:val="en-US"/>
        </w:rPr>
        <w:t>-</w:t>
      </w:r>
      <w:r w:rsidRPr="00720D87">
        <w:rPr>
          <w:rFonts w:eastAsia="Songti TC"/>
          <w:sz w:val="24"/>
          <w:szCs w:val="24"/>
          <w:lang w:val="en-US"/>
        </w:rPr>
        <w:t>日耳曼国家广泛采用。</w:t>
      </w:r>
    </w:p>
    <w:p w14:paraId="6BFFBEA7" w14:textId="77777777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欧洲法学家在罗马法的另一个法系中进行研究并不困难，他们在其中发现了这种科学的分类。</w:t>
      </w:r>
    </w:p>
    <w:p w14:paraId="4D420215" w14:textId="373F6184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罗马</w:t>
      </w:r>
      <w:r w:rsidRPr="00720D87">
        <w:rPr>
          <w:rFonts w:eastAsia="Songti TC"/>
          <w:sz w:val="24"/>
          <w:szCs w:val="24"/>
          <w:lang w:val="en-US"/>
        </w:rPr>
        <w:t>-</w:t>
      </w:r>
      <w:r w:rsidRPr="00720D87">
        <w:rPr>
          <w:rFonts w:eastAsia="Songti TC"/>
          <w:sz w:val="24"/>
          <w:szCs w:val="24"/>
          <w:lang w:val="en-US"/>
        </w:rPr>
        <w:t>日耳曼权利家族的统一性源于对罗马法科学体系的接受，这使法国法在</w:t>
      </w:r>
      <w:r w:rsidRPr="00720D87">
        <w:rPr>
          <w:rFonts w:eastAsia="Songti TC"/>
          <w:sz w:val="24"/>
          <w:szCs w:val="24"/>
          <w:lang w:val="en-US"/>
        </w:rPr>
        <w:t>19</w:t>
      </w:r>
      <w:r w:rsidRPr="00720D87">
        <w:rPr>
          <w:rFonts w:eastAsia="Songti TC"/>
          <w:sz w:val="24"/>
          <w:szCs w:val="24"/>
          <w:lang w:val="en-US"/>
        </w:rPr>
        <w:t>世纪成为了拉丁国家的法律和被广泛接纳的模式。这也正是法律之国（法国）在中文中的意思。</w:t>
      </w:r>
    </w:p>
    <w:p w14:paraId="71805412" w14:textId="3610B4BB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2.</w:t>
      </w:r>
      <w:r w:rsidRPr="00720D87">
        <w:rPr>
          <w:rFonts w:eastAsia="Songti TC"/>
          <w:sz w:val="24"/>
          <w:szCs w:val="24"/>
          <w:lang w:val="en-US"/>
        </w:rPr>
        <w:t>共同的意图</w:t>
      </w:r>
    </w:p>
    <w:p w14:paraId="63262E93" w14:textId="77777777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lastRenderedPageBreak/>
        <w:t>在惯常的认同中，人们在契约的名义下不仅指定了公约，而且还指定了记录公约的行为。人们普遍认为，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契约</w:t>
      </w:r>
      <w:r w:rsidRPr="00720D87">
        <w:rPr>
          <w:rFonts w:eastAsia="Songti TC"/>
          <w:sz w:val="24"/>
          <w:szCs w:val="24"/>
          <w:lang w:val="en-US"/>
        </w:rPr>
        <w:t xml:space="preserve"> "</w:t>
      </w:r>
      <w:r w:rsidRPr="00720D87">
        <w:rPr>
          <w:rFonts w:eastAsia="Songti TC"/>
          <w:sz w:val="24"/>
          <w:szCs w:val="24"/>
          <w:lang w:val="en-US"/>
        </w:rPr>
        <w:t>一词不仅用来指称公约本身，即当事人之间的协议，而且也指称写下这一协议的文件。因此，在契约和包含证明的文件之间就有了区分：销售是双方当事人关于转让物品</w:t>
      </w:r>
      <w:r w:rsidRPr="00720D87">
        <w:rPr>
          <w:rFonts w:eastAsia="Songti TC"/>
          <w:sz w:val="24"/>
          <w:szCs w:val="24"/>
          <w:lang w:val="en-US"/>
        </w:rPr>
        <w:t>/</w:t>
      </w:r>
      <w:r w:rsidRPr="00720D87">
        <w:rPr>
          <w:rFonts w:eastAsia="Songti TC"/>
          <w:sz w:val="24"/>
          <w:szCs w:val="24"/>
          <w:lang w:val="en-US"/>
        </w:rPr>
        <w:t>资产及其价格的协议，而不是在这个场合起草的书面文件。</w:t>
      </w:r>
    </w:p>
    <w:p w14:paraId="4AD596F1" w14:textId="77777777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因此，契约有一个形式和一个主题。对柏拉图来说，形式是</w:t>
      </w:r>
      <w:r w:rsidRPr="00720D87">
        <w:rPr>
          <w:rFonts w:eastAsia="Songti TC"/>
          <w:sz w:val="24"/>
          <w:szCs w:val="24"/>
          <w:lang w:val="en-US"/>
        </w:rPr>
        <w:t xml:space="preserve"> "</w:t>
      </w:r>
      <w:r w:rsidRPr="00720D87">
        <w:rPr>
          <w:rFonts w:eastAsia="Songti TC"/>
          <w:sz w:val="24"/>
          <w:szCs w:val="24"/>
          <w:lang w:val="en-US"/>
        </w:rPr>
        <w:t>事物的命令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，而契约则表达了当事人的准可和共同意图（克里顿，社会契约的初始理论）。</w:t>
      </w:r>
    </w:p>
    <w:p w14:paraId="7F0C77B6" w14:textId="77777777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在欧洲大陆的法律中，有些契约只有在某些正式条件下才有效（例如：书面形式，签署时有</w:t>
      </w:r>
      <w:r w:rsidRPr="00720D87">
        <w:rPr>
          <w:rFonts w:eastAsia="Songti TC"/>
          <w:sz w:val="24"/>
          <w:szCs w:val="24"/>
          <w:lang w:val="en-US"/>
        </w:rPr>
        <w:t xml:space="preserve"> "</w:t>
      </w:r>
      <w:r w:rsidRPr="00720D87">
        <w:rPr>
          <w:rFonts w:eastAsia="Songti TC"/>
          <w:sz w:val="24"/>
          <w:szCs w:val="24"/>
          <w:lang w:val="en-US"/>
        </w:rPr>
        <w:t>阅读并批准</w:t>
      </w:r>
      <w:r w:rsidRPr="00720D87">
        <w:rPr>
          <w:rFonts w:eastAsia="Songti TC"/>
          <w:sz w:val="24"/>
          <w:szCs w:val="24"/>
          <w:lang w:val="en-US"/>
        </w:rPr>
        <w:t xml:space="preserve"> "</w:t>
      </w:r>
      <w:r w:rsidRPr="00720D87">
        <w:rPr>
          <w:rFonts w:eastAsia="Songti TC"/>
          <w:sz w:val="24"/>
          <w:szCs w:val="24"/>
          <w:lang w:val="en-US"/>
        </w:rPr>
        <w:t>的字样，在公证人面前签署，等等）。</w:t>
      </w:r>
    </w:p>
    <w:p w14:paraId="1C596AFE" w14:textId="0F38D099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法国民法典则规定，油或酒的销售，唯有在品尝过后才有效（因此有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醉后方认可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（</w:t>
      </w:r>
      <w:r w:rsidRPr="00720D87">
        <w:rPr>
          <w:rFonts w:eastAsia="Songti TC"/>
          <w:sz w:val="24"/>
          <w:szCs w:val="24"/>
          <w:lang w:val="en-US"/>
        </w:rPr>
        <w:t>drunk and approved</w:t>
      </w:r>
      <w:r w:rsidRPr="00720D87">
        <w:rPr>
          <w:rFonts w:eastAsia="Songti TC"/>
          <w:sz w:val="24"/>
          <w:szCs w:val="24"/>
          <w:lang w:val="en-US"/>
        </w:rPr>
        <w:t>）的幽默说法）。</w:t>
      </w:r>
    </w:p>
    <w:p w14:paraId="2D6A5F14" w14:textId="77777777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如果当事人对契约的主题或目标有不同的看法，那么共同的意图就可能是虚假的。</w:t>
      </w:r>
    </w:p>
    <w:p w14:paraId="64CE3CB5" w14:textId="77777777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所说的或所写的可能与所想的不同。</w:t>
      </w:r>
    </w:p>
    <w:p w14:paraId="56FBDFAB" w14:textId="4BC10874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在法语中，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更多</w:t>
      </w:r>
      <w:r w:rsidRPr="00720D87">
        <w:rPr>
          <w:rFonts w:eastAsia="Songti TC"/>
          <w:sz w:val="24"/>
          <w:szCs w:val="24"/>
          <w:lang w:val="en-US"/>
        </w:rPr>
        <w:t xml:space="preserve"> "</w:t>
      </w:r>
      <w:r w:rsidRPr="00720D87">
        <w:rPr>
          <w:rFonts w:eastAsia="Songti TC"/>
          <w:sz w:val="24"/>
          <w:szCs w:val="24"/>
          <w:lang w:val="en-US"/>
        </w:rPr>
        <w:t>一词可以表示</w:t>
      </w:r>
      <w:r w:rsidRPr="00720D87">
        <w:rPr>
          <w:rFonts w:eastAsia="Songti TC"/>
          <w:sz w:val="24"/>
          <w:szCs w:val="24"/>
          <w:lang w:val="en-US"/>
        </w:rPr>
        <w:t xml:space="preserve"> "</w:t>
      </w:r>
      <w:r w:rsidRPr="00720D87">
        <w:rPr>
          <w:rFonts w:eastAsia="Songti TC"/>
          <w:sz w:val="24"/>
          <w:szCs w:val="24"/>
          <w:lang w:val="en-US"/>
        </w:rPr>
        <w:t>更多</w:t>
      </w:r>
      <w:r w:rsidRPr="00720D87">
        <w:rPr>
          <w:rFonts w:eastAsia="Songti TC"/>
          <w:sz w:val="24"/>
          <w:szCs w:val="24"/>
          <w:lang w:val="en-US"/>
        </w:rPr>
        <w:t xml:space="preserve"> "</w:t>
      </w:r>
      <w:r w:rsidRPr="00720D87">
        <w:rPr>
          <w:rFonts w:eastAsia="Songti TC"/>
          <w:sz w:val="24"/>
          <w:szCs w:val="24"/>
          <w:lang w:val="en-US"/>
        </w:rPr>
        <w:t>或</w:t>
      </w:r>
      <w:r w:rsidRPr="00720D87">
        <w:rPr>
          <w:rFonts w:eastAsia="Songti TC"/>
          <w:sz w:val="24"/>
          <w:szCs w:val="24"/>
          <w:lang w:val="en-US"/>
        </w:rPr>
        <w:t xml:space="preserve"> "</w:t>
      </w:r>
      <w:r w:rsidRPr="00720D87">
        <w:rPr>
          <w:rFonts w:eastAsia="Songti TC"/>
          <w:sz w:val="24"/>
          <w:szCs w:val="24"/>
          <w:lang w:val="en-US"/>
        </w:rPr>
        <w:t>没有更多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；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最迟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可以表示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甚至之前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或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不在之前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，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归属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可以表示该物品不属于被归属的人，但也表示它可以是。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由来</w:t>
      </w:r>
      <w:r w:rsidRPr="00720D87">
        <w:rPr>
          <w:rFonts w:eastAsia="Songti TC"/>
          <w:sz w:val="24"/>
          <w:szCs w:val="24"/>
          <w:lang w:val="en-US"/>
        </w:rPr>
        <w:t xml:space="preserve"> "</w:t>
      </w:r>
      <w:r w:rsidRPr="00720D87">
        <w:rPr>
          <w:rFonts w:eastAsia="Songti TC"/>
          <w:sz w:val="24"/>
          <w:szCs w:val="24"/>
          <w:lang w:val="en-US"/>
        </w:rPr>
        <w:t>可以指定东西的制造地点，而非它的材料。</w:t>
      </w:r>
    </w:p>
    <w:p w14:paraId="17C07CE3" w14:textId="77777777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在法国的法律传统中，误解是协议存在的障碍，用知名法学家普朗尼奥的说法来说，就是：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它不是一个契约，它是一个误解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。但一切都将取决于误解的性质。</w:t>
      </w:r>
    </w:p>
    <w:p w14:paraId="4E83DB2B" w14:textId="77777777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丈夫发现其配偶的性无能，可以因双方都准可这一缺陷而废除婚姻契约，但关于妻子贞操的问题，则并不能证明它的正当性（在礼仪并不受法律约束的国家）。</w:t>
      </w:r>
    </w:p>
    <w:p w14:paraId="0BC8F076" w14:textId="75FF3E36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许多离婚案都是由于误解而产生的。但也有许多婚姻也是因为误解产生的</w:t>
      </w:r>
      <w:r w:rsidR="00720D87">
        <w:rPr>
          <w:rFonts w:eastAsia="Songti TC"/>
          <w:sz w:val="24"/>
          <w:szCs w:val="24"/>
          <w:lang w:val="en-US"/>
        </w:rPr>
        <w:t>······</w:t>
      </w:r>
      <w:r w:rsidRPr="00720D87">
        <w:rPr>
          <w:rFonts w:eastAsia="Songti TC"/>
          <w:sz w:val="24"/>
          <w:szCs w:val="24"/>
          <w:lang w:val="en-US"/>
        </w:rPr>
        <w:t>（特</w:t>
      </w:r>
      <w:r w:rsidRPr="00720D87">
        <w:rPr>
          <w:rFonts w:eastAsia="Songti TC"/>
          <w:sz w:val="24"/>
          <w:szCs w:val="24"/>
          <w:lang w:val="en-US"/>
        </w:rPr>
        <w:lastRenderedPageBreak/>
        <w:t>里斯坦</w:t>
      </w:r>
      <w:r w:rsidRPr="00720D87">
        <w:rPr>
          <w:rFonts w:eastAsia="Songti TC"/>
          <w:sz w:val="24"/>
          <w:szCs w:val="24"/>
          <w:lang w:val="en-US"/>
        </w:rPr>
        <w:t>·</w:t>
      </w:r>
      <w:r w:rsidRPr="00720D87">
        <w:rPr>
          <w:rFonts w:eastAsia="Songti TC"/>
          <w:sz w:val="24"/>
          <w:szCs w:val="24"/>
          <w:lang w:val="en-US"/>
        </w:rPr>
        <w:t>伯纳德（</w:t>
      </w:r>
      <w:r w:rsidRPr="00720D87">
        <w:rPr>
          <w:rFonts w:eastAsia="Songti TC"/>
          <w:sz w:val="24"/>
          <w:szCs w:val="24"/>
          <w:lang w:val="en-US"/>
        </w:rPr>
        <w:t>Tristan Bernard</w:t>
      </w:r>
      <w:r w:rsidRPr="00720D87">
        <w:rPr>
          <w:rFonts w:eastAsia="Songti TC"/>
          <w:sz w:val="24"/>
          <w:szCs w:val="24"/>
          <w:lang w:val="en-US"/>
        </w:rPr>
        <w:t>））。</w:t>
      </w:r>
    </w:p>
    <w:p w14:paraId="2911E4C8" w14:textId="77777777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3.</w:t>
      </w:r>
      <w:r w:rsidRPr="00720D87">
        <w:rPr>
          <w:rFonts w:eastAsia="Songti TC"/>
          <w:sz w:val="24"/>
          <w:szCs w:val="24"/>
          <w:lang w:val="en-US"/>
        </w:rPr>
        <w:t>约束力</w:t>
      </w:r>
    </w:p>
    <w:p w14:paraId="2E8299FC" w14:textId="77777777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拉丁语</w:t>
      </w:r>
      <w:r w:rsidRPr="00720D87">
        <w:rPr>
          <w:rFonts w:eastAsia="Songti TC"/>
          <w:sz w:val="24"/>
          <w:szCs w:val="24"/>
          <w:lang w:val="en-US"/>
        </w:rPr>
        <w:t>"</w:t>
      </w:r>
      <w:proofErr w:type="spellStart"/>
      <w:r w:rsidRPr="00720D87">
        <w:rPr>
          <w:rFonts w:eastAsia="Songti TC"/>
          <w:sz w:val="24"/>
          <w:szCs w:val="24"/>
          <w:lang w:val="en-US"/>
        </w:rPr>
        <w:t>Contractus</w:t>
      </w:r>
      <w:proofErr w:type="spellEnd"/>
      <w:r w:rsidRPr="00720D87">
        <w:rPr>
          <w:rFonts w:eastAsia="Songti TC"/>
          <w:sz w:val="24"/>
          <w:szCs w:val="24"/>
          <w:lang w:val="en-US"/>
        </w:rPr>
        <w:t xml:space="preserve"> "</w:t>
      </w:r>
      <w:r w:rsidRPr="00720D87">
        <w:rPr>
          <w:rFonts w:eastAsia="Songti TC"/>
          <w:sz w:val="24"/>
          <w:szCs w:val="24"/>
          <w:lang w:val="en-US"/>
        </w:rPr>
        <w:t>的意思是约束，收紧。</w:t>
      </w:r>
    </w:p>
    <w:p w14:paraId="635A1D67" w14:textId="69E82903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在罗马法中，契约必须得到尊重，即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条约必须遵守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（</w:t>
      </w:r>
      <w:r w:rsidRPr="00720D87">
        <w:rPr>
          <w:rFonts w:eastAsia="Songti TC"/>
          <w:sz w:val="24"/>
          <w:szCs w:val="24"/>
          <w:lang w:val="en-US"/>
        </w:rPr>
        <w:t xml:space="preserve">pacta sunt </w:t>
      </w:r>
      <w:proofErr w:type="spellStart"/>
      <w:r w:rsidRPr="00720D87">
        <w:rPr>
          <w:rFonts w:eastAsia="Songti TC"/>
          <w:sz w:val="24"/>
          <w:szCs w:val="24"/>
          <w:lang w:val="en-US"/>
        </w:rPr>
        <w:t>servanda</w:t>
      </w:r>
      <w:proofErr w:type="spellEnd"/>
      <w:r w:rsidRPr="00720D87">
        <w:rPr>
          <w:rFonts w:eastAsia="Songti TC"/>
          <w:sz w:val="24"/>
          <w:szCs w:val="24"/>
          <w:lang w:val="en-US"/>
        </w:rPr>
        <w:t>）。</w:t>
      </w:r>
      <w:r w:rsidRPr="00720D87">
        <w:rPr>
          <w:rFonts w:eastAsia="Songti TC"/>
          <w:sz w:val="24"/>
          <w:szCs w:val="24"/>
          <w:lang w:val="en-US"/>
        </w:rPr>
        <w:t>(</w:t>
      </w:r>
      <w:r w:rsidRPr="00720D87">
        <w:rPr>
          <w:rFonts w:eastAsia="Songti TC"/>
          <w:sz w:val="24"/>
          <w:szCs w:val="24"/>
          <w:lang w:val="en-US"/>
        </w:rPr>
        <w:t>对于</w:t>
      </w:r>
      <w:r w:rsidRPr="00720D87">
        <w:rPr>
          <w:rFonts w:eastAsia="Songti TC"/>
          <w:sz w:val="24"/>
          <w:szCs w:val="24"/>
          <w:lang w:val="en-US"/>
        </w:rPr>
        <w:t>Umberto Eco</w:t>
      </w:r>
      <w:r w:rsidRPr="00720D87">
        <w:rPr>
          <w:rFonts w:eastAsia="Songti TC"/>
          <w:sz w:val="24"/>
          <w:szCs w:val="24"/>
          <w:lang w:val="en-US"/>
        </w:rPr>
        <w:t>来说，在他为</w:t>
      </w:r>
      <w:r w:rsidRPr="00720D87">
        <w:rPr>
          <w:rFonts w:eastAsia="Songti TC"/>
          <w:sz w:val="24"/>
          <w:szCs w:val="24"/>
          <w:lang w:val="en-US"/>
        </w:rPr>
        <w:t xml:space="preserve">Renzo </w:t>
      </w:r>
      <w:proofErr w:type="spellStart"/>
      <w:r w:rsidRPr="00720D87">
        <w:rPr>
          <w:rFonts w:eastAsia="Songti TC"/>
          <w:sz w:val="24"/>
          <w:szCs w:val="24"/>
          <w:lang w:val="en-US"/>
        </w:rPr>
        <w:t>Tozi</w:t>
      </w:r>
      <w:proofErr w:type="spellEnd"/>
      <w:r w:rsidRPr="00720D87">
        <w:rPr>
          <w:rFonts w:eastAsia="Songti TC"/>
          <w:sz w:val="24"/>
          <w:szCs w:val="24"/>
          <w:lang w:val="en-US"/>
        </w:rPr>
        <w:t>的希腊语和拉丁语句子词典的法语版所写的序言中，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你必须疯狂地从字面上理解一个谚语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。诚然如此，但这是一句格言）。</w:t>
      </w:r>
    </w:p>
    <w:p w14:paraId="1326F5DA" w14:textId="53669141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回到法律这一问题上，</w:t>
      </w:r>
      <w:r w:rsidRPr="00720D87">
        <w:rPr>
          <w:rFonts w:eastAsia="Songti TC"/>
          <w:sz w:val="24"/>
          <w:szCs w:val="24"/>
          <w:lang w:val="en-US"/>
        </w:rPr>
        <w:t>1804</w:t>
      </w:r>
      <w:r w:rsidRPr="00720D87">
        <w:rPr>
          <w:rFonts w:eastAsia="Songti TC"/>
          <w:sz w:val="24"/>
          <w:szCs w:val="24"/>
          <w:lang w:val="en-US"/>
        </w:rPr>
        <w:t>年法国民法典（也被称为拿破仑法典）的惯用语因此极为有力：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对于制定公约的人来说，合法形成的公约取代了法律的地位</w:t>
      </w:r>
      <w:r w:rsidR="00720D87">
        <w:rPr>
          <w:rFonts w:eastAsia="Songti TC" w:hint="eastAsia"/>
          <w:sz w:val="24"/>
          <w:szCs w:val="24"/>
          <w:lang w:val="en-US"/>
        </w:rPr>
        <w:t>······</w:t>
      </w:r>
      <w:r w:rsidRPr="00720D87">
        <w:rPr>
          <w:rFonts w:eastAsia="Songti TC"/>
          <w:sz w:val="24"/>
          <w:szCs w:val="24"/>
          <w:lang w:val="en-US"/>
        </w:rPr>
        <w:t>"</w:t>
      </w:r>
    </w:p>
    <w:p w14:paraId="58B26238" w14:textId="77777777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此外：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公约不仅对其所表达的内容有义务，而且对公平、习惯或法律根据其性质赋予义务的所有后果也有其义务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。</w:t>
      </w:r>
    </w:p>
    <w:p w14:paraId="4E6ED6C2" w14:textId="77777777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对自由表达的承诺，必须得到严格的尊重，经典的解释总是无视公平，认为公平是义务的残余后果，对它的施用存在任意性的风险。</w:t>
      </w:r>
    </w:p>
    <w:p w14:paraId="0D31B735" w14:textId="77777777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对于法国的判例法来说，出于对时间或公平性的考虑，是不被允许修改当事人的协议的。如果一个契约的形成是有效的，即使后来看到它的经济平衡被扰乱，法官也不得修改其条款。</w:t>
      </w:r>
    </w:p>
    <w:p w14:paraId="2302BBDD" w14:textId="652BCAF1" w:rsidR="00254707" w:rsidRPr="00720D87" w:rsidRDefault="00254707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因此，对欧洲人来说，合同是一成不变的，其准时履行是一个绝对的前提条件。</w:t>
      </w:r>
    </w:p>
    <w:p w14:paraId="49779819" w14:textId="77777777" w:rsidR="00145299" w:rsidRPr="00720D87" w:rsidRDefault="00145299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实践建议</w:t>
      </w:r>
    </w:p>
    <w:p w14:paraId="0C12E1C9" w14:textId="77777777" w:rsidR="00145299" w:rsidRPr="00720D87" w:rsidRDefault="00145299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1.</w:t>
      </w:r>
      <w:r w:rsidRPr="00720D87">
        <w:rPr>
          <w:rFonts w:eastAsia="Songti TC"/>
          <w:sz w:val="24"/>
          <w:szCs w:val="24"/>
          <w:lang w:val="en-US"/>
        </w:rPr>
        <w:t>相互理解在起草契约文件时，是不可或缺的。</w:t>
      </w:r>
    </w:p>
    <w:p w14:paraId="4B6C824F" w14:textId="786CFF4F" w:rsidR="00145299" w:rsidRPr="00720D87" w:rsidRDefault="00145299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首先签署一份没有契约效力的谅解备忘录，然后签署一份规定履行初步义务的初步合同，这些义务的连续良好履行，将是双方</w:t>
      </w:r>
      <w:r w:rsidR="00A85DB5" w:rsidRPr="00720D87">
        <w:rPr>
          <w:rFonts w:eastAsia="Songti TC"/>
          <w:sz w:val="24"/>
          <w:szCs w:val="24"/>
          <w:lang w:val="en-US"/>
        </w:rPr>
        <w:t>互信</w:t>
      </w:r>
      <w:r w:rsidRPr="00720D87">
        <w:rPr>
          <w:rFonts w:eastAsia="Songti TC"/>
          <w:sz w:val="24"/>
          <w:szCs w:val="24"/>
          <w:lang w:val="en-US"/>
        </w:rPr>
        <w:t>的保证。</w:t>
      </w:r>
    </w:p>
    <w:p w14:paraId="1CCFE393" w14:textId="77777777" w:rsidR="00145299" w:rsidRPr="00720D87" w:rsidRDefault="00145299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lastRenderedPageBreak/>
        <w:t>谅解备忘录对于尽可能清楚和准确地介绍契约的主题至关重要。格劳秀斯（</w:t>
      </w:r>
      <w:r w:rsidRPr="00720D87">
        <w:rPr>
          <w:rFonts w:eastAsia="Songti TC"/>
          <w:sz w:val="24"/>
          <w:szCs w:val="24"/>
          <w:lang w:val="en-US"/>
        </w:rPr>
        <w:t>Grotius</w:t>
      </w:r>
      <w:r w:rsidRPr="00720D87">
        <w:rPr>
          <w:rFonts w:eastAsia="Songti TC"/>
          <w:sz w:val="24"/>
          <w:szCs w:val="24"/>
          <w:lang w:val="en-US"/>
        </w:rPr>
        <w:t>）在其解释条约的方法中（在</w:t>
      </w:r>
      <w:r w:rsidRPr="00720D87">
        <w:rPr>
          <w:rFonts w:eastAsia="Songti TC"/>
          <w:sz w:val="24"/>
          <w:szCs w:val="24"/>
          <w:lang w:val="en-US"/>
        </w:rPr>
        <w:t xml:space="preserve"> "</w:t>
      </w:r>
      <w:r w:rsidRPr="00720D87">
        <w:rPr>
          <w:rFonts w:eastAsia="Songti TC"/>
          <w:sz w:val="24"/>
          <w:szCs w:val="24"/>
          <w:lang w:val="en-US"/>
        </w:rPr>
        <w:t>战争法与和平法</w:t>
      </w:r>
      <w:r w:rsidRPr="00720D87">
        <w:rPr>
          <w:rFonts w:eastAsia="Songti TC"/>
          <w:sz w:val="24"/>
          <w:szCs w:val="24"/>
          <w:lang w:val="en-US"/>
        </w:rPr>
        <w:t xml:space="preserve"> "</w:t>
      </w:r>
      <w:r w:rsidRPr="00720D87">
        <w:rPr>
          <w:rFonts w:eastAsia="Songti TC"/>
          <w:sz w:val="24"/>
          <w:szCs w:val="24"/>
          <w:lang w:val="en-US"/>
        </w:rPr>
        <w:t>中）看到，寻觅条约的原始目的，是准确去理解缔约方意图的决定性手段。</w:t>
      </w:r>
    </w:p>
    <w:p w14:paraId="6E5A2DD4" w14:textId="77777777" w:rsidR="00145299" w:rsidRPr="00720D87" w:rsidRDefault="00145299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这种方法包括在契约</w:t>
      </w:r>
      <w:r w:rsidRPr="00720D87">
        <w:rPr>
          <w:rFonts w:eastAsia="Songti TC"/>
          <w:sz w:val="24"/>
          <w:szCs w:val="24"/>
          <w:lang w:val="en-US"/>
        </w:rPr>
        <w:t>/</w:t>
      </w:r>
      <w:r w:rsidRPr="00720D87">
        <w:rPr>
          <w:rFonts w:eastAsia="Songti TC"/>
          <w:sz w:val="24"/>
          <w:szCs w:val="24"/>
          <w:lang w:val="en-US"/>
        </w:rPr>
        <w:t>文件中，以序言形式列出各方的活动和关系的历史，并非常准确地界定。</w:t>
      </w:r>
    </w:p>
    <w:p w14:paraId="149D1D66" w14:textId="5FE35F4A" w:rsidR="00145299" w:rsidRPr="00720D87" w:rsidRDefault="00145299" w:rsidP="00720D87">
      <w:pPr>
        <w:pStyle w:val="Listenabsatz"/>
        <w:numPr>
          <w:ilvl w:val="0"/>
          <w:numId w:val="3"/>
        </w:numPr>
        <w:spacing w:before="120" w:after="120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明确和隐含的目标。</w:t>
      </w:r>
    </w:p>
    <w:p w14:paraId="6A7D7D70" w14:textId="7AD1DB9F" w:rsidR="00145299" w:rsidRPr="00720D87" w:rsidRDefault="00145299" w:rsidP="00720D87">
      <w:pPr>
        <w:pStyle w:val="Listenabsatz"/>
        <w:numPr>
          <w:ilvl w:val="0"/>
          <w:numId w:val="3"/>
        </w:numPr>
        <w:spacing w:before="120" w:after="120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契约条款的定义</w:t>
      </w:r>
    </w:p>
    <w:p w14:paraId="6B42120B" w14:textId="3492B260" w:rsidR="00145299" w:rsidRPr="00720D87" w:rsidRDefault="00145299" w:rsidP="00720D87">
      <w:pPr>
        <w:pStyle w:val="Listenabsatz"/>
        <w:numPr>
          <w:ilvl w:val="0"/>
          <w:numId w:val="3"/>
        </w:numPr>
        <w:spacing w:before="120" w:after="120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关于不可预见的情况的规定</w:t>
      </w:r>
      <w:r w:rsidRPr="00720D87">
        <w:rPr>
          <w:rFonts w:eastAsia="Songti TC"/>
          <w:sz w:val="24"/>
          <w:szCs w:val="24"/>
          <w:lang w:val="en-US"/>
        </w:rPr>
        <w:t>——</w:t>
      </w:r>
      <w:r w:rsidRPr="00720D87">
        <w:rPr>
          <w:rFonts w:eastAsia="Songti TC"/>
          <w:sz w:val="24"/>
          <w:szCs w:val="24"/>
          <w:lang w:val="en-US"/>
        </w:rPr>
        <w:t>时间表和约束力。</w:t>
      </w:r>
    </w:p>
    <w:p w14:paraId="60BB2076" w14:textId="77777777" w:rsidR="00145299" w:rsidRPr="00720D87" w:rsidRDefault="00145299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2.</w:t>
      </w:r>
      <w:r w:rsidRPr="00720D87">
        <w:rPr>
          <w:rFonts w:eastAsia="Songti TC"/>
          <w:sz w:val="24"/>
          <w:szCs w:val="24"/>
          <w:lang w:val="en-US"/>
        </w:rPr>
        <w:t>在履行意义上的相互现实主义</w:t>
      </w:r>
    </w:p>
    <w:p w14:paraId="05D94170" w14:textId="2D2ECAD4" w:rsidR="00145299" w:rsidRPr="00720D87" w:rsidRDefault="00145299" w:rsidP="00720D87">
      <w:pPr>
        <w:spacing w:before="120" w:after="120"/>
        <w:ind w:firstLine="488"/>
        <w:rPr>
          <w:rFonts w:eastAsia="Songti TC" w:hint="eastAsia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考虑到经济转型可以改变任何契约的平衡，</w:t>
      </w:r>
      <w:r w:rsidRPr="00720D87">
        <w:rPr>
          <w:rFonts w:eastAsia="Songti TC"/>
          <w:sz w:val="24"/>
          <w:szCs w:val="24"/>
          <w:lang w:val="en-US"/>
        </w:rPr>
        <w:t>2016</w:t>
      </w:r>
      <w:r w:rsidRPr="00720D87">
        <w:rPr>
          <w:rFonts w:eastAsia="Songti TC"/>
          <w:sz w:val="24"/>
          <w:szCs w:val="24"/>
          <w:lang w:val="en-US"/>
        </w:rPr>
        <w:t>年的《法国民法典》添入了了一个值得注意的进展，即不可预见的概念。</w:t>
      </w:r>
      <w:r w:rsidRPr="00720D87">
        <w:rPr>
          <w:rFonts w:eastAsia="Songti TC"/>
          <w:sz w:val="24"/>
          <w:szCs w:val="24"/>
          <w:lang w:val="en-US"/>
        </w:rPr>
        <w:t>"</w:t>
      </w:r>
      <w:r w:rsidRPr="00720D87">
        <w:rPr>
          <w:rFonts w:eastAsia="Songti TC"/>
          <w:sz w:val="24"/>
          <w:szCs w:val="24"/>
          <w:lang w:val="en-US"/>
        </w:rPr>
        <w:t>如果情况发生变化，而在契约订立时无法预见，使得未接受承担风险的一方的履约成本过高，后者可以要求重新谈判</w:t>
      </w:r>
      <w:r w:rsidR="00720D87">
        <w:rPr>
          <w:rFonts w:eastAsia="Songti TC"/>
          <w:sz w:val="24"/>
          <w:szCs w:val="24"/>
          <w:lang w:val="en-US"/>
        </w:rPr>
        <w:t>······</w:t>
      </w:r>
      <w:r w:rsidRPr="00720D87">
        <w:rPr>
          <w:rFonts w:eastAsia="Songti TC"/>
          <w:sz w:val="24"/>
          <w:szCs w:val="24"/>
          <w:lang w:val="en-US"/>
        </w:rPr>
        <w:t>法官可以根据一方的要求，修改契约或终止契约</w:t>
      </w:r>
      <w:r w:rsidR="00720D87">
        <w:rPr>
          <w:rFonts w:eastAsia="Songti TC"/>
          <w:sz w:val="24"/>
          <w:szCs w:val="24"/>
          <w:lang w:val="en-US"/>
        </w:rPr>
        <w:t>······</w:t>
      </w:r>
      <w:r w:rsidRPr="00720D87">
        <w:rPr>
          <w:rFonts w:eastAsia="Songti TC"/>
          <w:sz w:val="24"/>
          <w:szCs w:val="24"/>
          <w:lang w:val="en-US"/>
        </w:rPr>
        <w:t>"</w:t>
      </w:r>
    </w:p>
    <w:p w14:paraId="7AB00EBF" w14:textId="77777777" w:rsidR="00145299" w:rsidRPr="00720D87" w:rsidRDefault="00145299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因此，赞同这些条款的可能适用，就意味着要预见契约中规定的三个条件。</w:t>
      </w:r>
    </w:p>
    <w:p w14:paraId="4F32A3E8" w14:textId="595AB1F9" w:rsidR="00145299" w:rsidRPr="00720D87" w:rsidRDefault="00145299" w:rsidP="00720D87">
      <w:pPr>
        <w:pStyle w:val="Listenabsatz"/>
        <w:numPr>
          <w:ilvl w:val="0"/>
          <w:numId w:val="4"/>
        </w:numPr>
        <w:spacing w:before="120" w:after="120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可预见的情况变化。</w:t>
      </w:r>
    </w:p>
    <w:p w14:paraId="64C6D21F" w14:textId="280A629B" w:rsidR="00145299" w:rsidRPr="00720D87" w:rsidRDefault="00145299" w:rsidP="00720D87">
      <w:pPr>
        <w:pStyle w:val="Listenabsatz"/>
        <w:numPr>
          <w:ilvl w:val="0"/>
          <w:numId w:val="4"/>
        </w:numPr>
        <w:spacing w:before="120" w:after="120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当履约义务变得过分繁重时</w:t>
      </w:r>
      <w:r w:rsidRPr="00720D87">
        <w:rPr>
          <w:rFonts w:eastAsia="Songti TC"/>
          <w:sz w:val="24"/>
          <w:szCs w:val="24"/>
          <w:lang w:val="en-US"/>
        </w:rPr>
        <w:t>——</w:t>
      </w:r>
      <w:r w:rsidRPr="00720D87">
        <w:rPr>
          <w:rFonts w:eastAsia="Songti TC"/>
          <w:sz w:val="24"/>
          <w:szCs w:val="24"/>
          <w:lang w:val="en-US"/>
        </w:rPr>
        <w:t>当事人打算承担或不承担的风险的性质。</w:t>
      </w:r>
    </w:p>
    <w:p w14:paraId="381DCEA6" w14:textId="7ECFD79E" w:rsidR="00254707" w:rsidRPr="00720D87" w:rsidRDefault="00145299" w:rsidP="00720D87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720D87">
        <w:rPr>
          <w:rFonts w:eastAsia="Songti TC"/>
          <w:sz w:val="24"/>
          <w:szCs w:val="24"/>
          <w:lang w:val="en-US"/>
        </w:rPr>
        <w:t>承认文化特殊性所导致的最初误解的逻辑，以建立相互信任的基础，这就是桩基。</w:t>
      </w:r>
    </w:p>
    <w:sectPr w:rsidR="00254707" w:rsidRPr="00720D87" w:rsidSect="000C5022">
      <w:pgSz w:w="11906" w:h="16838"/>
      <w:pgMar w:top="1440" w:right="1440" w:bottom="1440" w:left="144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54C2"/>
    <w:multiLevelType w:val="hybridMultilevel"/>
    <w:tmpl w:val="9ED844C4"/>
    <w:lvl w:ilvl="0" w:tplc="0407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618A2F0E"/>
    <w:multiLevelType w:val="hybridMultilevel"/>
    <w:tmpl w:val="F08A8292"/>
    <w:lvl w:ilvl="0" w:tplc="0407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61B35CA1"/>
    <w:multiLevelType w:val="multilevel"/>
    <w:tmpl w:val="61B35CA1"/>
    <w:lvl w:ilvl="0">
      <w:start w:val="1"/>
      <w:numFmt w:val="chineseCountingThousand"/>
      <w:pStyle w:val="berschrift1"/>
      <w:lvlText w:val="第%1章"/>
      <w:lvlJc w:val="left"/>
      <w:pPr>
        <w:ind w:left="193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pStyle w:val="berschrift2"/>
      <w:isLgl/>
      <w:lvlText w:val="%1.%2"/>
      <w:lvlJc w:val="left"/>
      <w:pPr>
        <w:ind w:left="1932" w:firstLine="0"/>
      </w:pPr>
      <w:rPr>
        <w:rFonts w:ascii="Times New Roman" w:eastAsia="SimHei" w:hAnsi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57" w:firstLine="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2783" w:firstLine="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3208" w:firstLine="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633" w:firstLine="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58" w:firstLine="0"/>
      </w:pPr>
      <w:rPr>
        <w:rFonts w:hint="eastAsia"/>
      </w:rPr>
    </w:lvl>
    <w:lvl w:ilvl="7">
      <w:start w:val="1"/>
      <w:numFmt w:val="decimal"/>
      <w:lvlRestart w:val="1"/>
      <w:isLgl/>
      <w:lvlText w:val="表%1.%8"/>
      <w:lvlJc w:val="left"/>
      <w:pPr>
        <w:ind w:left="1932" w:firstLine="0"/>
      </w:pPr>
      <w:rPr>
        <w:rFonts w:hint="eastAsia"/>
      </w:rPr>
    </w:lvl>
    <w:lvl w:ilvl="8">
      <w:start w:val="1"/>
      <w:numFmt w:val="decimal"/>
      <w:lvlRestart w:val="1"/>
      <w:isLgl/>
      <w:lvlText w:val="图%1.%9"/>
      <w:lvlJc w:val="left"/>
      <w:pPr>
        <w:ind w:left="1932" w:firstLine="0"/>
      </w:pPr>
      <w:rPr>
        <w:rFonts w:hint="eastAsia"/>
      </w:rPr>
    </w:lvl>
  </w:abstractNum>
  <w:num w:numId="1" w16cid:durableId="1951234808">
    <w:abstractNumId w:val="2"/>
  </w:num>
  <w:num w:numId="2" w16cid:durableId="1207714160">
    <w:abstractNumId w:val="2"/>
  </w:num>
  <w:num w:numId="3" w16cid:durableId="1276905879">
    <w:abstractNumId w:val="0"/>
  </w:num>
  <w:num w:numId="4" w16cid:durableId="207003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bordersDoNotSurroundHeader/>
  <w:bordersDoNotSurroundFooter/>
  <w:proofState w:spelling="clean" w:grammar="clean"/>
  <w:defaultTabStop w:val="420"/>
  <w:hyphenationZone w:val="425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07"/>
    <w:rsid w:val="000C5022"/>
    <w:rsid w:val="00145299"/>
    <w:rsid w:val="001C4115"/>
    <w:rsid w:val="00254707"/>
    <w:rsid w:val="003C75B3"/>
    <w:rsid w:val="00661EC2"/>
    <w:rsid w:val="00720D87"/>
    <w:rsid w:val="007E1C56"/>
    <w:rsid w:val="00A85DB5"/>
    <w:rsid w:val="00B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51A1"/>
  <w15:chartTrackingRefBased/>
  <w15:docId w15:val="{8903B5F3-5B1B-8D4B-9AE0-1154F16D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EC2"/>
    <w:pPr>
      <w:widowControl w:val="0"/>
      <w:jc w:val="both"/>
    </w:pPr>
  </w:style>
  <w:style w:type="paragraph" w:styleId="berschrift1">
    <w:name w:val="heading 1"/>
    <w:basedOn w:val="Standard"/>
    <w:next w:val="Standard"/>
    <w:link w:val="berschrift1Zchn"/>
    <w:qFormat/>
    <w:rsid w:val="00661EC2"/>
    <w:pPr>
      <w:keepNext/>
      <w:keepLines/>
      <w:numPr>
        <w:numId w:val="2"/>
      </w:numPr>
      <w:spacing w:before="480" w:after="360"/>
      <w:jc w:val="center"/>
      <w:outlineLvl w:val="0"/>
    </w:pPr>
    <w:rPr>
      <w:rFonts w:eastAsia="SimHei"/>
      <w:bCs/>
      <w:snapToGrid w:val="0"/>
      <w:sz w:val="32"/>
      <w:szCs w:val="44"/>
    </w:rPr>
  </w:style>
  <w:style w:type="paragraph" w:styleId="berschrift2">
    <w:name w:val="heading 2"/>
    <w:basedOn w:val="berschrift1"/>
    <w:next w:val="Standard"/>
    <w:link w:val="berschrift2Zchn"/>
    <w:qFormat/>
    <w:rsid w:val="00661EC2"/>
    <w:pPr>
      <w:numPr>
        <w:ilvl w:val="1"/>
      </w:numPr>
      <w:spacing w:before="360" w:after="240"/>
      <w:jc w:val="both"/>
      <w:outlineLvl w:val="1"/>
    </w:pPr>
    <w:rPr>
      <w:rFonts w:ascii="SimHei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661EC2"/>
    <w:pPr>
      <w:numPr>
        <w:ilvl w:val="0"/>
        <w:numId w:val="0"/>
      </w:numPr>
      <w:spacing w:before="120" w:after="120"/>
      <w:jc w:val="left"/>
      <w:outlineLvl w:val="2"/>
    </w:pPr>
    <w:rPr>
      <w:rFonts w:asci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PSOffice1">
    <w:name w:val="WPSOffice手动目录 1"/>
    <w:qFormat/>
    <w:rsid w:val="00661EC2"/>
    <w:rPr>
      <w:lang w:val="en-US"/>
    </w:rPr>
  </w:style>
  <w:style w:type="paragraph" w:customStyle="1" w:styleId="WPSOffice2">
    <w:name w:val="WPSOffice手动目录 2"/>
    <w:qFormat/>
    <w:rsid w:val="00661EC2"/>
    <w:pPr>
      <w:ind w:leftChars="200" w:left="200"/>
    </w:pPr>
    <w:rPr>
      <w:lang w:val="en-US"/>
    </w:rPr>
  </w:style>
  <w:style w:type="paragraph" w:customStyle="1" w:styleId="WPSOffice3">
    <w:name w:val="WPSOffice手动目录 3"/>
    <w:qFormat/>
    <w:rsid w:val="00661EC2"/>
    <w:pPr>
      <w:ind w:leftChars="400" w:left="400"/>
    </w:pPr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661EC2"/>
    <w:rPr>
      <w:rFonts w:asciiTheme="minorHAnsi" w:eastAsia="SimHei" w:hAnsiTheme="minorHAnsi" w:cstheme="minorBidi"/>
      <w:bCs/>
      <w:snapToGrid w:val="0"/>
      <w:sz w:val="32"/>
      <w:szCs w:val="44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661EC2"/>
    <w:rPr>
      <w:rFonts w:ascii="SimHei" w:eastAsia="SimHei" w:hAnsiTheme="minorHAnsi" w:cstheme="minorBidi"/>
      <w:bCs/>
      <w:snapToGrid w:val="0"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661EC2"/>
    <w:rPr>
      <w:rFonts w:eastAsia="SimHei" w:hAnsiTheme="minorHAnsi" w:cstheme="minorBidi"/>
      <w:bCs/>
      <w:snapToGrid w:val="0"/>
      <w:sz w:val="24"/>
      <w:szCs w:val="24"/>
      <w:lang w:val="en-US"/>
    </w:rPr>
  </w:style>
  <w:style w:type="paragraph" w:styleId="Verzeichnis1">
    <w:name w:val="toc 1"/>
    <w:basedOn w:val="Standard"/>
    <w:next w:val="Standard"/>
    <w:qFormat/>
    <w:rsid w:val="00661EC2"/>
  </w:style>
  <w:style w:type="paragraph" w:styleId="Verzeichnis2">
    <w:name w:val="toc 2"/>
    <w:basedOn w:val="Standard"/>
    <w:next w:val="Standard"/>
    <w:qFormat/>
    <w:rsid w:val="00661EC2"/>
    <w:pPr>
      <w:ind w:leftChars="200" w:left="420"/>
    </w:pPr>
  </w:style>
  <w:style w:type="paragraph" w:styleId="Verzeichnis3">
    <w:name w:val="toc 3"/>
    <w:basedOn w:val="Standard"/>
    <w:next w:val="Standard"/>
    <w:qFormat/>
    <w:rsid w:val="00661EC2"/>
    <w:pPr>
      <w:ind w:leftChars="400" w:left="840"/>
    </w:pPr>
  </w:style>
  <w:style w:type="paragraph" w:styleId="Funotentext">
    <w:name w:val="footnote text"/>
    <w:basedOn w:val="Standard"/>
    <w:link w:val="FunotentextZchn"/>
    <w:qFormat/>
    <w:rsid w:val="00661EC2"/>
    <w:pPr>
      <w:snapToGrid w:val="0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paragraph" w:styleId="Kopfzeile">
    <w:name w:val="header"/>
    <w:basedOn w:val="Standard"/>
    <w:link w:val="KopfzeileZchn"/>
    <w:qFormat/>
    <w:rsid w:val="00661E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paragraph" w:styleId="Fuzeile">
    <w:name w:val="footer"/>
    <w:basedOn w:val="Standard"/>
    <w:link w:val="FuzeileZchn"/>
    <w:qFormat/>
    <w:rsid w:val="00661E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character" w:styleId="Funotenzeichen">
    <w:name w:val="footnote reference"/>
    <w:basedOn w:val="Absatz-Standardschriftart"/>
    <w:qFormat/>
    <w:rsid w:val="00661EC2"/>
    <w:rPr>
      <w:vertAlign w:val="superscript"/>
    </w:rPr>
  </w:style>
  <w:style w:type="paragraph" w:styleId="Listenabsatz">
    <w:name w:val="List Paragraph"/>
    <w:basedOn w:val="Standard"/>
    <w:uiPriority w:val="34"/>
    <w:rsid w:val="00720D87"/>
    <w:pPr>
      <w:ind w:left="720"/>
      <w:contextualSpacing/>
    </w:pPr>
  </w:style>
  <w:style w:type="table" w:styleId="Tabellenraster">
    <w:name w:val="Table Grid"/>
    <w:basedOn w:val="NormaleTabelle"/>
    <w:uiPriority w:val="39"/>
    <w:rsid w:val="000C502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0C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418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 Jian</dc:creator>
  <cp:keywords/>
  <dc:description/>
  <cp:lastModifiedBy>Frederic Liu</cp:lastModifiedBy>
  <cp:revision>4</cp:revision>
  <dcterms:created xsi:type="dcterms:W3CDTF">2022-05-18T07:34:00Z</dcterms:created>
  <dcterms:modified xsi:type="dcterms:W3CDTF">2022-05-27T09:08:00Z</dcterms:modified>
</cp:coreProperties>
</file>