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2F8D" w14:textId="30FD09B9" w:rsidR="00CB5A40" w:rsidRPr="0038005C" w:rsidRDefault="00B470FE" w:rsidP="00CB5A40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</w:t>
      </w:r>
      <w:r w:rsidR="00CB5A40">
        <w:rPr>
          <w:rFonts w:ascii="Times New Roman" w:hAnsi="Times New Roman" w:cs="Times New Roman"/>
          <w:b/>
          <w:bCs/>
          <w:sz w:val="32"/>
          <w:szCs w:val="32"/>
          <w:lang w:val="en-US"/>
        </w:rPr>
        <w:t>umanism</w:t>
      </w:r>
      <w:r w:rsidR="00CB5A40" w:rsidRPr="0038005C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="00CB5A40" w:rsidRPr="001E1034">
        <w:rPr>
          <w:rFonts w:ascii="Songti TC" w:eastAsia="Songti TC" w:hAnsi="Songti TC" w:cs="Times New Roman" w:hint="eastAsia"/>
          <w:b/>
          <w:bCs/>
          <w:sz w:val="32"/>
          <w:szCs w:val="32"/>
          <w:lang w:val="en-US"/>
        </w:rPr>
        <w:t>仁</w:t>
      </w:r>
      <w:r w:rsidR="00CB5A40" w:rsidRPr="0038005C">
        <w:rPr>
          <w:rFonts w:ascii="Times New Roman" w:eastAsia="Microsoft YaHei" w:hAnsi="Times New Roman" w:cs="Times New Roman" w:hint="eastAsia"/>
          <w:b/>
          <w:bCs/>
          <w:sz w:val="32"/>
          <w:szCs w:val="32"/>
          <w:lang w:val="en-US"/>
        </w:rPr>
        <w:t>(</w:t>
      </w:r>
      <w:proofErr w:type="spellStart"/>
      <w:r w:rsidR="00CB5A40" w:rsidRPr="00AE00ED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Rén</w:t>
      </w:r>
      <w:proofErr w:type="spellEnd"/>
      <w:r w:rsidR="00CB5A40" w:rsidRPr="0038005C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2849"/>
        <w:gridCol w:w="2808"/>
      </w:tblGrid>
      <w:tr w:rsidR="00CB5A40" w14:paraId="72DCCB83" w14:textId="77777777" w:rsidTr="0012483B">
        <w:trPr>
          <w:trHeight w:val="347"/>
          <w:jc w:val="center"/>
        </w:trPr>
        <w:tc>
          <w:tcPr>
            <w:tcW w:w="3020" w:type="dxa"/>
          </w:tcPr>
          <w:p w14:paraId="0A68E83A" w14:textId="77777777" w:rsidR="00CB5A40" w:rsidRPr="00D75663" w:rsidRDefault="00CB5A40" w:rsidP="0012483B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hAnsi="Times New Roman" w:cs="Times New Roman"/>
              </w:rPr>
              <w:t>Chinese</w:t>
            </w:r>
            <w:r w:rsidRPr="00D75663">
              <w:rPr>
                <w:rFonts w:ascii="Times New Roman" w:hAnsi="Times New Roman" w:cs="Times New Roman"/>
              </w:rPr>
              <w:t xml:space="preserve"> Perspective</w:t>
            </w:r>
          </w:p>
        </w:tc>
        <w:tc>
          <w:tcPr>
            <w:tcW w:w="3021" w:type="dxa"/>
          </w:tcPr>
          <w:p w14:paraId="75A1AECA" w14:textId="77777777" w:rsidR="00CB5A40" w:rsidRPr="00D75663" w:rsidRDefault="00CB5A40" w:rsidP="001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ZHAO </w:t>
            </w:r>
            <w:proofErr w:type="spellStart"/>
            <w:r>
              <w:rPr>
                <w:rFonts w:ascii="Times New Roman" w:hAnsi="Times New Roman" w:cs="Times New Roman"/>
              </w:rPr>
              <w:t>Tingyang</w:t>
            </w:r>
            <w:proofErr w:type="spellEnd"/>
          </w:p>
        </w:tc>
        <w:tc>
          <w:tcPr>
            <w:tcW w:w="3021" w:type="dxa"/>
          </w:tcPr>
          <w:p w14:paraId="56BB84A6" w14:textId="7D271F44" w:rsidR="00CB5A40" w:rsidRPr="00D75663" w:rsidRDefault="00CB5A40" w:rsidP="001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1C30">
              <w:rPr>
                <w:rFonts w:ascii="Times New Roman" w:hAnsi="Times New Roman" w:cs="Times New Roman"/>
              </w:rPr>
              <w:t xml:space="preserve">6 </w:t>
            </w:r>
            <w:r w:rsidR="00641C30">
              <w:rPr>
                <w:rFonts w:ascii="Times New Roman" w:hAnsi="Times New Roman" w:cs="Times New Roman" w:hint="eastAsia"/>
              </w:rPr>
              <w:t>Feb</w:t>
            </w:r>
            <w:r w:rsidRPr="00D75663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54C715E7" w14:textId="77777777" w:rsidR="00EC594B" w:rsidRPr="00B470FE" w:rsidRDefault="00B473ED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“仁”的概念构成了儒家学说的基础，是中华文明的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一个</w:t>
      </w:r>
      <w:r w:rsidRPr="00B470FE">
        <w:rPr>
          <w:rFonts w:ascii="Songti TC" w:eastAsia="Songti TC" w:hAnsi="Songti TC" w:cs="Times New Roman"/>
          <w:sz w:val="24"/>
          <w:szCs w:val="24"/>
        </w:rPr>
        <w:t>核心价值。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但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西方知识界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对这个概念似乎没有太大的兴趣，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或许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部分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原因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是黑格尔对它的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误导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解读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，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儒家学说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因此常被看作是类似于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祖母教诲的人生格言，没有什么哲学上的重要</w:t>
      </w:r>
      <w:r w:rsidR="00F209C6" w:rsidRPr="00B470FE">
        <w:rPr>
          <w:rFonts w:ascii="Songti TC" w:eastAsia="Songti TC" w:hAnsi="Songti TC" w:cs="Times New Roman"/>
          <w:sz w:val="24"/>
          <w:szCs w:val="24"/>
        </w:rPr>
        <w:t>价值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。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从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“仁”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的译法也能看出问题，一般被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译为“</w:t>
      </w:r>
      <w:r w:rsidR="00EC594B" w:rsidRPr="001E1034">
        <w:rPr>
          <w:rFonts w:ascii="Times New Roman" w:eastAsia="Songti TC" w:hAnsi="Times New Roman" w:cs="Times New Roman"/>
          <w:sz w:val="24"/>
          <w:szCs w:val="24"/>
        </w:rPr>
        <w:t>benevolence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501D38" w:rsidRPr="00B470FE">
        <w:rPr>
          <w:rFonts w:ascii="Songti TC" w:eastAsia="Songti TC" w:hAnsi="Songti TC" w:cs="Times New Roman"/>
          <w:sz w:val="24"/>
          <w:szCs w:val="24"/>
        </w:rPr>
        <w:t>（仁慈）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、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也有的译为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“</w:t>
      </w:r>
      <w:r w:rsidR="00EC594B" w:rsidRPr="001E1034">
        <w:rPr>
          <w:rFonts w:ascii="Times New Roman" w:eastAsia="Songti TC" w:hAnsi="Times New Roman" w:cs="Times New Roman"/>
          <w:sz w:val="24"/>
          <w:szCs w:val="24"/>
        </w:rPr>
        <w:t>virtue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501D38" w:rsidRPr="00B470FE">
        <w:rPr>
          <w:rFonts w:ascii="Songti TC" w:eastAsia="Songti TC" w:hAnsi="Songti TC" w:cs="Times New Roman"/>
          <w:sz w:val="24"/>
          <w:szCs w:val="24"/>
        </w:rPr>
        <w:t>（美德）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、“</w:t>
      </w:r>
      <w:r w:rsidR="00EC594B" w:rsidRPr="001E1034">
        <w:rPr>
          <w:rFonts w:ascii="Times New Roman" w:eastAsia="Songti TC" w:hAnsi="Times New Roman" w:cs="Times New Roman"/>
          <w:sz w:val="24"/>
          <w:szCs w:val="24"/>
        </w:rPr>
        <w:t>goodness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501D38" w:rsidRPr="00B470FE">
        <w:rPr>
          <w:rFonts w:ascii="Songti TC" w:eastAsia="Songti TC" w:hAnsi="Songti TC" w:cs="Times New Roman"/>
          <w:sz w:val="24"/>
          <w:szCs w:val="24"/>
        </w:rPr>
        <w:t>（善）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或者“</w:t>
      </w:r>
      <w:r w:rsidR="00EC594B" w:rsidRPr="001E1034">
        <w:rPr>
          <w:rFonts w:ascii="Times New Roman" w:eastAsia="Songti TC" w:hAnsi="Times New Roman" w:cs="Times New Roman"/>
          <w:sz w:val="24"/>
          <w:szCs w:val="24"/>
        </w:rPr>
        <w:t>humaneness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501D38" w:rsidRPr="00B470FE">
        <w:rPr>
          <w:rFonts w:ascii="Songti TC" w:eastAsia="Songti TC" w:hAnsi="Songti TC" w:cs="Times New Roman"/>
          <w:sz w:val="24"/>
          <w:szCs w:val="24"/>
        </w:rPr>
        <w:t>（人性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化</w:t>
      </w:r>
      <w:r w:rsidR="00501D38" w:rsidRPr="00B470FE">
        <w:rPr>
          <w:rFonts w:ascii="Songti TC" w:eastAsia="Songti TC" w:hAnsi="Songti TC" w:cs="Times New Roman"/>
          <w:sz w:val="24"/>
          <w:szCs w:val="24"/>
        </w:rPr>
        <w:t>）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。这些译法虽与“仁”并非没有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关联，但肯定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未能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表达出它的</w:t>
      </w:r>
      <w:r w:rsidR="00EC594B" w:rsidRPr="00B470FE">
        <w:rPr>
          <w:rFonts w:ascii="Songti TC" w:eastAsia="Songti TC" w:hAnsi="Songti TC" w:cs="Times New Roman"/>
          <w:sz w:val="24"/>
          <w:szCs w:val="24"/>
        </w:rPr>
        <w:t>深层哲学涵义。</w:t>
      </w:r>
    </w:p>
    <w:p w14:paraId="74A02FE8" w14:textId="77777777" w:rsidR="00EC594B" w:rsidRPr="00B470FE" w:rsidRDefault="00EC594B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一位来到中国的早期传教士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，利玛窦，</w:t>
      </w:r>
      <w:r w:rsidRPr="00B470FE">
        <w:rPr>
          <w:rFonts w:ascii="Songti TC" w:eastAsia="Songti TC" w:hAnsi="Songti TC" w:cs="Times New Roman"/>
          <w:sz w:val="24"/>
          <w:szCs w:val="24"/>
        </w:rPr>
        <w:t>曾惊讶地发现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，尽管儒家学说不是宗教，</w:t>
      </w:r>
      <w:r w:rsidRPr="00B470FE">
        <w:rPr>
          <w:rFonts w:ascii="Songti TC" w:eastAsia="Songti TC" w:hAnsi="Songti TC" w:cs="Times New Roman"/>
          <w:sz w:val="24"/>
          <w:szCs w:val="24"/>
        </w:rPr>
        <w:t>却与基督教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的</w:t>
      </w:r>
      <w:r w:rsidRPr="00B470FE">
        <w:rPr>
          <w:rFonts w:ascii="Songti TC" w:eastAsia="Songti TC" w:hAnsi="Songti TC" w:cs="Times New Roman"/>
          <w:sz w:val="24"/>
          <w:szCs w:val="24"/>
        </w:rPr>
        <w:t>伦理共享某些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相似</w:t>
      </w:r>
      <w:r w:rsidRPr="00B470FE">
        <w:rPr>
          <w:rFonts w:ascii="Songti TC" w:eastAsia="Songti TC" w:hAnsi="Songti TC" w:cs="Times New Roman"/>
          <w:sz w:val="24"/>
          <w:szCs w:val="24"/>
        </w:rPr>
        <w:t>的观念。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他</w:t>
      </w:r>
      <w:r w:rsidRPr="00B470FE">
        <w:rPr>
          <w:rFonts w:ascii="Songti TC" w:eastAsia="Songti TC" w:hAnsi="Songti TC" w:cs="Times New Roman"/>
          <w:sz w:val="24"/>
          <w:szCs w:val="24"/>
        </w:rPr>
        <w:t>通过论证完美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主义的基督教道德要比任何一种缺乏</w:t>
      </w:r>
      <w:r w:rsidRPr="00B470FE">
        <w:rPr>
          <w:rFonts w:ascii="Songti TC" w:eastAsia="Songti TC" w:hAnsi="Songti TC" w:cs="Times New Roman"/>
          <w:sz w:val="24"/>
          <w:szCs w:val="24"/>
        </w:rPr>
        <w:t>完美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追求</w:t>
      </w:r>
      <w:r w:rsidRPr="00B470FE">
        <w:rPr>
          <w:rFonts w:ascii="Songti TC" w:eastAsia="Songti TC" w:hAnsi="Songti TC" w:cs="Times New Roman"/>
          <w:sz w:val="24"/>
          <w:szCs w:val="24"/>
        </w:rPr>
        <w:t>的世俗道德更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为优越，</w:t>
      </w:r>
      <w:r w:rsidRPr="00B470FE">
        <w:rPr>
          <w:rFonts w:ascii="Songti TC" w:eastAsia="Songti TC" w:hAnsi="Songti TC" w:cs="Times New Roman"/>
          <w:sz w:val="24"/>
          <w:szCs w:val="24"/>
        </w:rPr>
        <w:t>成功地说服了</w:t>
      </w:r>
      <w:r w:rsidR="002752D8" w:rsidRPr="00B470FE">
        <w:rPr>
          <w:rFonts w:ascii="Songti TC" w:eastAsia="Songti TC" w:hAnsi="Songti TC" w:cs="Times New Roman"/>
          <w:sz w:val="24"/>
          <w:szCs w:val="24"/>
        </w:rPr>
        <w:t>不少</w:t>
      </w:r>
      <w:r w:rsidR="004F162F" w:rsidRPr="00B470FE">
        <w:rPr>
          <w:rFonts w:ascii="Songti TC" w:eastAsia="Songti TC" w:hAnsi="Songti TC" w:cs="Times New Roman"/>
          <w:sz w:val="24"/>
          <w:szCs w:val="24"/>
        </w:rPr>
        <w:t>中国学者皈依基督教。利玛窦将“仁”</w:t>
      </w:r>
      <w:r w:rsidRPr="00B470FE">
        <w:rPr>
          <w:rFonts w:ascii="Songti TC" w:eastAsia="Songti TC" w:hAnsi="Songti TC" w:cs="Times New Roman"/>
          <w:sz w:val="24"/>
          <w:szCs w:val="24"/>
        </w:rPr>
        <w:t>翻译为“</w:t>
      </w:r>
      <w:r w:rsidRPr="001E1034">
        <w:rPr>
          <w:rFonts w:ascii="Times New Roman" w:eastAsia="Songti TC" w:hAnsi="Times New Roman" w:cs="Times New Roman"/>
          <w:sz w:val="24"/>
          <w:szCs w:val="24"/>
        </w:rPr>
        <w:t>love</w:t>
      </w:r>
      <w:r w:rsidRPr="00B470FE">
        <w:rPr>
          <w:rFonts w:ascii="Songti TC" w:eastAsia="Songti TC" w:hAnsi="Songti TC" w:cs="Times New Roman"/>
          <w:sz w:val="24"/>
          <w:szCs w:val="24"/>
        </w:rPr>
        <w:t>”（爱），</w:t>
      </w:r>
      <w:r w:rsidR="004F162F" w:rsidRPr="00B470FE">
        <w:rPr>
          <w:rFonts w:ascii="Songti TC" w:eastAsia="Songti TC" w:hAnsi="Songti TC" w:cs="Times New Roman"/>
          <w:sz w:val="24"/>
          <w:szCs w:val="24"/>
        </w:rPr>
        <w:t>认为接近于</w:t>
      </w:r>
      <w:r w:rsidRPr="00B470FE">
        <w:rPr>
          <w:rFonts w:ascii="Songti TC" w:eastAsia="Songti TC" w:hAnsi="Songti TC" w:cs="Times New Roman"/>
          <w:sz w:val="24"/>
          <w:szCs w:val="24"/>
        </w:rPr>
        <w:t>上帝之爱。</w:t>
      </w:r>
      <w:r w:rsidR="004F162F" w:rsidRPr="00B470FE">
        <w:rPr>
          <w:rFonts w:ascii="Songti TC" w:eastAsia="Songti TC" w:hAnsi="Songti TC" w:cs="Times New Roman"/>
          <w:sz w:val="24"/>
          <w:szCs w:val="24"/>
        </w:rPr>
        <w:t>这个译法虽然优美，但也不够准确。</w:t>
      </w:r>
      <w:r w:rsidRPr="00B470FE">
        <w:rPr>
          <w:rFonts w:ascii="Songti TC" w:eastAsia="Songti TC" w:hAnsi="Songti TC" w:cs="Times New Roman"/>
          <w:sz w:val="24"/>
          <w:szCs w:val="24"/>
        </w:rPr>
        <w:t>“仁”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的概念</w:t>
      </w:r>
      <w:r w:rsidRPr="00B470FE">
        <w:rPr>
          <w:rFonts w:ascii="Songti TC" w:eastAsia="Songti TC" w:hAnsi="Songti TC" w:cs="Times New Roman"/>
          <w:sz w:val="24"/>
          <w:szCs w:val="24"/>
        </w:rPr>
        <w:t>还有着其他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的</w:t>
      </w:r>
      <w:r w:rsidR="004F162F" w:rsidRPr="00B470FE">
        <w:rPr>
          <w:rFonts w:ascii="Songti TC" w:eastAsia="Songti TC" w:hAnsi="Songti TC" w:cs="Times New Roman"/>
          <w:sz w:val="24"/>
          <w:szCs w:val="24"/>
        </w:rPr>
        <w:t>意义</w:t>
      </w:r>
      <w:r w:rsidRPr="00B470FE">
        <w:rPr>
          <w:rFonts w:ascii="Songti TC" w:eastAsia="Songti TC" w:hAnsi="Songti TC" w:cs="Times New Roman"/>
          <w:sz w:val="24"/>
          <w:szCs w:val="24"/>
        </w:rPr>
        <w:t>面向。</w:t>
      </w:r>
    </w:p>
    <w:p w14:paraId="405AD430" w14:textId="77777777" w:rsidR="00644602" w:rsidRPr="00B470FE" w:rsidRDefault="005A338D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“仁”的译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法确实</w:t>
      </w:r>
      <w:r w:rsidRPr="00B470FE">
        <w:rPr>
          <w:rFonts w:ascii="Songti TC" w:eastAsia="Songti TC" w:hAnsi="Songti TC" w:cs="Times New Roman"/>
          <w:sz w:val="24"/>
          <w:szCs w:val="24"/>
        </w:rPr>
        <w:t>是一个难题。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不过，从其</w:t>
      </w:r>
      <w:r w:rsidRPr="00B470FE">
        <w:rPr>
          <w:rFonts w:ascii="Songti TC" w:eastAsia="Songti TC" w:hAnsi="Songti TC" w:cs="Times New Roman"/>
          <w:sz w:val="24"/>
          <w:szCs w:val="24"/>
        </w:rPr>
        <w:t>字形结构，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还是能够</w:t>
      </w:r>
      <w:r w:rsidRPr="00B470FE">
        <w:rPr>
          <w:rFonts w:ascii="Songti TC" w:eastAsia="Songti TC" w:hAnsi="Songti TC" w:cs="Times New Roman"/>
          <w:sz w:val="24"/>
          <w:szCs w:val="24"/>
        </w:rPr>
        <w:t>找到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关键线索。仁的字形是二</w:t>
      </w:r>
      <w:r w:rsidRPr="00B470FE">
        <w:rPr>
          <w:rFonts w:ascii="Songti TC" w:eastAsia="Songti TC" w:hAnsi="Songti TC" w:cs="Times New Roman"/>
          <w:sz w:val="24"/>
          <w:szCs w:val="24"/>
        </w:rPr>
        <w:t>人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组成</w:t>
      </w:r>
      <w:r w:rsidRPr="00B470FE">
        <w:rPr>
          <w:rFonts w:ascii="Songti TC" w:eastAsia="Songti TC" w:hAnsi="Songti TC" w:cs="Times New Roman"/>
          <w:sz w:val="24"/>
          <w:szCs w:val="24"/>
        </w:rPr>
        <w:t>的形象，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这</w:t>
      </w:r>
      <w:r w:rsidRPr="00B470FE">
        <w:rPr>
          <w:rFonts w:ascii="Songti TC" w:eastAsia="Songti TC" w:hAnsi="Songti TC" w:cs="Times New Roman"/>
          <w:sz w:val="24"/>
          <w:szCs w:val="24"/>
        </w:rPr>
        <w:t>在结构上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就意味着在任意二</w:t>
      </w:r>
      <w:r w:rsidRPr="00B470FE">
        <w:rPr>
          <w:rFonts w:ascii="Songti TC" w:eastAsia="Songti TC" w:hAnsi="Songti TC" w:cs="Times New Roman"/>
          <w:sz w:val="24"/>
          <w:szCs w:val="24"/>
        </w:rPr>
        <w:t>人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“</w:t>
      </w:r>
      <w:r w:rsidRPr="00B470FE">
        <w:rPr>
          <w:rFonts w:ascii="Songti TC" w:eastAsia="Songti TC" w:hAnsi="Songti TC" w:cs="Times New Roman"/>
          <w:b/>
          <w:bCs/>
          <w:sz w:val="24"/>
          <w:szCs w:val="24"/>
        </w:rPr>
        <w:t>之间</w:t>
      </w:r>
      <w:r w:rsidR="00AD0887" w:rsidRPr="00B470FE">
        <w:rPr>
          <w:rFonts w:ascii="Songti TC" w:eastAsia="Songti TC" w:hAnsi="Songti TC" w:cs="Times New Roman"/>
          <w:bCs/>
          <w:sz w:val="24"/>
          <w:szCs w:val="24"/>
        </w:rPr>
        <w:t>”，并且</w:t>
      </w:r>
      <w:r w:rsidR="00AD0887" w:rsidRPr="00B470FE">
        <w:rPr>
          <w:rFonts w:ascii="Songti TC" w:eastAsia="Songti TC" w:hAnsi="Songti TC" w:cs="Times New Roman"/>
          <w:b/>
          <w:bCs/>
          <w:sz w:val="24"/>
          <w:szCs w:val="24"/>
        </w:rPr>
        <w:t>，“属于”</w:t>
      </w:r>
      <w:r w:rsidRPr="00B470FE">
        <w:rPr>
          <w:rFonts w:ascii="Songti TC" w:eastAsia="Songti TC" w:hAnsi="Songti TC" w:cs="Times New Roman"/>
          <w:sz w:val="24"/>
          <w:szCs w:val="24"/>
        </w:rPr>
        <w:t>任意两人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的关系，</w:t>
      </w:r>
      <w:r w:rsidRPr="00B470FE">
        <w:rPr>
          <w:rFonts w:ascii="Songti TC" w:eastAsia="Songti TC" w:hAnsi="Songti TC" w:cs="Times New Roman"/>
          <w:sz w:val="24"/>
          <w:szCs w:val="24"/>
        </w:rPr>
        <w:t>因此，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仁的概念</w:t>
      </w:r>
      <w:r w:rsidRPr="00B470FE">
        <w:rPr>
          <w:rFonts w:ascii="Songti TC" w:eastAsia="Songti TC" w:hAnsi="Songti TC" w:cs="Times New Roman"/>
          <w:sz w:val="24"/>
          <w:szCs w:val="24"/>
        </w:rPr>
        <w:t>在字面上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的直接意思是</w:t>
      </w:r>
      <w:r w:rsidRPr="00B470FE">
        <w:rPr>
          <w:rFonts w:ascii="Songti TC" w:eastAsia="Songti TC" w:hAnsi="Songti TC" w:cs="Times New Roman"/>
          <w:sz w:val="24"/>
          <w:szCs w:val="24"/>
        </w:rPr>
        <w:t>“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属于</w:t>
      </w:r>
      <w:r w:rsidRPr="00B470FE">
        <w:rPr>
          <w:rFonts w:ascii="Songti TC" w:eastAsia="Songti TC" w:hAnsi="Songti TC" w:cs="Times New Roman"/>
          <w:sz w:val="24"/>
          <w:szCs w:val="24"/>
        </w:rPr>
        <w:t>任意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二</w:t>
      </w:r>
      <w:r w:rsidRPr="00B470FE">
        <w:rPr>
          <w:rFonts w:ascii="Songti TC" w:eastAsia="Songti TC" w:hAnsi="Songti TC" w:cs="Times New Roman"/>
          <w:sz w:val="24"/>
          <w:szCs w:val="24"/>
        </w:rPr>
        <w:t>人”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的关系</w:t>
      </w:r>
      <w:r w:rsidRPr="00B470FE">
        <w:rPr>
          <w:rFonts w:ascii="Songti TC" w:eastAsia="Songti TC" w:hAnsi="Songti TC" w:cs="Times New Roman"/>
          <w:sz w:val="24"/>
          <w:szCs w:val="24"/>
        </w:rPr>
        <w:t>（</w:t>
      </w:r>
      <w:r w:rsidRPr="001E1034">
        <w:rPr>
          <w:rFonts w:ascii="Times New Roman" w:eastAsia="Songti TC" w:hAnsi="Times New Roman" w:cs="Times New Roman"/>
          <w:sz w:val="24"/>
          <w:szCs w:val="24"/>
        </w:rPr>
        <w:t>of-any-two-persons</w:t>
      </w:r>
      <w:r w:rsidRPr="00B470FE">
        <w:rPr>
          <w:rFonts w:ascii="Songti TC" w:eastAsia="Songti TC" w:hAnsi="Songti TC" w:cs="Times New Roman"/>
          <w:sz w:val="24"/>
          <w:szCs w:val="24"/>
        </w:rPr>
        <w:t>），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“任意二人”</w:t>
      </w:r>
      <w:r w:rsidRPr="00B470FE">
        <w:rPr>
          <w:rFonts w:ascii="Songti TC" w:eastAsia="Songti TC" w:hAnsi="Songti TC" w:cs="Times New Roman"/>
          <w:sz w:val="24"/>
          <w:szCs w:val="24"/>
        </w:rPr>
        <w:t>在逻辑上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包括了</w:t>
      </w:r>
      <w:r w:rsidRPr="00B470FE">
        <w:rPr>
          <w:rFonts w:ascii="Songti TC" w:eastAsia="Songti TC" w:hAnsi="Songti TC" w:cs="Times New Roman"/>
          <w:sz w:val="24"/>
          <w:szCs w:val="24"/>
        </w:rPr>
        <w:t>所有人</w:t>
      </w:r>
      <w:r w:rsidR="00AD0887" w:rsidRPr="00B470FE">
        <w:rPr>
          <w:rFonts w:ascii="Songti TC" w:eastAsia="Songti TC" w:hAnsi="Songti TC" w:cs="Times New Roman"/>
          <w:sz w:val="24"/>
          <w:szCs w:val="24"/>
        </w:rPr>
        <w:t>，同时我们知道，仁是</w:t>
      </w:r>
      <w:r w:rsidRPr="00B470FE">
        <w:rPr>
          <w:rFonts w:ascii="Songti TC" w:eastAsia="Songti TC" w:hAnsi="Songti TC" w:cs="Times New Roman"/>
          <w:sz w:val="24"/>
          <w:szCs w:val="24"/>
        </w:rPr>
        <w:t>任意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二</w:t>
      </w:r>
      <w:r w:rsidRPr="00B470FE">
        <w:rPr>
          <w:rFonts w:ascii="Songti TC" w:eastAsia="Songti TC" w:hAnsi="Songti TC" w:cs="Times New Roman"/>
          <w:sz w:val="24"/>
          <w:szCs w:val="24"/>
        </w:rPr>
        <w:t>人之间的道德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关系，因此，仁的概念</w:t>
      </w:r>
      <w:r w:rsidRPr="00B470FE">
        <w:rPr>
          <w:rFonts w:ascii="Songti TC" w:eastAsia="Songti TC" w:hAnsi="Songti TC" w:cs="Times New Roman"/>
          <w:sz w:val="24"/>
          <w:szCs w:val="24"/>
        </w:rPr>
        <w:t>必然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意味着</w:t>
      </w:r>
      <w:r w:rsidRPr="00B470FE">
        <w:rPr>
          <w:rFonts w:ascii="Songti TC" w:eastAsia="Songti TC" w:hAnsi="Songti TC" w:cs="Times New Roman"/>
          <w:sz w:val="24"/>
          <w:szCs w:val="24"/>
        </w:rPr>
        <w:t>任意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二</w:t>
      </w:r>
      <w:r w:rsidRPr="00B470FE">
        <w:rPr>
          <w:rFonts w:ascii="Songti TC" w:eastAsia="Songti TC" w:hAnsi="Songti TC" w:cs="Times New Roman"/>
          <w:sz w:val="24"/>
          <w:szCs w:val="24"/>
        </w:rPr>
        <w:t>人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之间</w:t>
      </w:r>
      <w:r w:rsidRPr="00B470FE">
        <w:rPr>
          <w:rFonts w:ascii="Songti TC" w:eastAsia="Songti TC" w:hAnsi="Songti TC" w:cs="Times New Roman"/>
          <w:sz w:val="24"/>
          <w:szCs w:val="24"/>
        </w:rPr>
        <w:t>的最优相互关系。其中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包含互相关心</w:t>
      </w:r>
      <w:r w:rsidRPr="00B470FE">
        <w:rPr>
          <w:rFonts w:ascii="Songti TC" w:eastAsia="Songti TC" w:hAnsi="Songti TC" w:cs="Times New Roman"/>
          <w:sz w:val="24"/>
          <w:szCs w:val="24"/>
        </w:rPr>
        <w:t>、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共情</w:t>
      </w:r>
      <w:r w:rsidRPr="00B470FE">
        <w:rPr>
          <w:rFonts w:ascii="Songti TC" w:eastAsia="Songti TC" w:hAnsi="Songti TC" w:cs="Times New Roman"/>
          <w:sz w:val="24"/>
          <w:szCs w:val="24"/>
        </w:rPr>
        <w:t>、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共鸣</w:t>
      </w:r>
      <w:r w:rsidRPr="00B470FE">
        <w:rPr>
          <w:rFonts w:ascii="Songti TC" w:eastAsia="Songti TC" w:hAnsi="Songti TC" w:cs="Times New Roman"/>
          <w:sz w:val="24"/>
          <w:szCs w:val="24"/>
        </w:rPr>
        <w:t>与相互尊重，同时还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有和谐</w:t>
      </w:r>
      <w:r w:rsidRPr="00B470FE">
        <w:rPr>
          <w:rFonts w:ascii="Songti TC" w:eastAsia="Songti TC" w:hAnsi="Songti TC" w:cs="Times New Roman"/>
          <w:sz w:val="24"/>
          <w:szCs w:val="24"/>
        </w:rPr>
        <w:t>与公正（</w:t>
      </w:r>
      <w:r w:rsidRPr="001E1034">
        <w:rPr>
          <w:rFonts w:ascii="Times New Roman" w:eastAsia="Songti TC" w:hAnsi="Times New Roman" w:cs="Times New Roman"/>
          <w:sz w:val="24"/>
          <w:szCs w:val="24"/>
        </w:rPr>
        <w:t>justice</w:t>
      </w:r>
      <w:r w:rsidRPr="00B470FE">
        <w:rPr>
          <w:rFonts w:ascii="Songti TC" w:eastAsia="Songti TC" w:hAnsi="Songti TC" w:cs="Times New Roman"/>
          <w:sz w:val="24"/>
          <w:szCs w:val="24"/>
        </w:rPr>
        <w:t>）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的心理关系和实践关系</w:t>
      </w:r>
      <w:r w:rsidRPr="00B470FE">
        <w:rPr>
          <w:rFonts w:ascii="Songti TC" w:eastAsia="Songti TC" w:hAnsi="Songti TC" w:cs="Times New Roman"/>
          <w:sz w:val="24"/>
          <w:szCs w:val="24"/>
        </w:rPr>
        <w:t>。“仁”的问题在于它</w:t>
      </w:r>
      <w:r w:rsidR="00575312" w:rsidRPr="00B470FE">
        <w:rPr>
          <w:rFonts w:ascii="Songti TC" w:eastAsia="Songti TC" w:hAnsi="Songti TC" w:cs="Times New Roman"/>
          <w:sz w:val="24"/>
          <w:szCs w:val="24"/>
        </w:rPr>
        <w:t>的内涵过于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复合</w:t>
      </w:r>
      <w:r w:rsidRPr="00B470FE">
        <w:rPr>
          <w:rFonts w:ascii="Songti TC" w:eastAsia="Songti TC" w:hAnsi="Songti TC" w:cs="Times New Roman"/>
          <w:sz w:val="24"/>
          <w:szCs w:val="24"/>
        </w:rPr>
        <w:t>，就像“善”、“自由”和“平等”这些概念一样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难以定义，因此也难以翻译。</w:t>
      </w:r>
      <w:r w:rsidRPr="00B470FE">
        <w:rPr>
          <w:rFonts w:ascii="Songti TC" w:eastAsia="Songti TC" w:hAnsi="Songti TC" w:cs="Times New Roman"/>
          <w:sz w:val="24"/>
          <w:szCs w:val="24"/>
        </w:rPr>
        <w:t>哲学</w:t>
      </w:r>
      <w:r w:rsidR="006971BE" w:rsidRPr="00B470FE">
        <w:rPr>
          <w:rFonts w:ascii="Songti TC" w:eastAsia="Songti TC" w:hAnsi="Songti TC" w:cs="Times New Roman"/>
          <w:sz w:val="24"/>
          <w:szCs w:val="24"/>
        </w:rPr>
        <w:t>的许多概念都试图囊括过多的内容，以至于难以清晰</w:t>
      </w:r>
      <w:r w:rsidRPr="00B470FE">
        <w:rPr>
          <w:rFonts w:ascii="Songti TC" w:eastAsia="Songti TC" w:hAnsi="Songti TC" w:cs="Times New Roman"/>
          <w:sz w:val="24"/>
          <w:szCs w:val="24"/>
        </w:rPr>
        <w:t>界定。</w:t>
      </w:r>
    </w:p>
    <w:p w14:paraId="778B077B" w14:textId="77777777" w:rsidR="00644602" w:rsidRPr="00B470FE" w:rsidRDefault="006971BE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lastRenderedPageBreak/>
        <w:t>这里也许</w:t>
      </w:r>
      <w:r w:rsidR="00644602" w:rsidRPr="00B470FE">
        <w:rPr>
          <w:rFonts w:ascii="Songti TC" w:eastAsia="Songti TC" w:hAnsi="Songti TC" w:cs="Times New Roman"/>
          <w:sz w:val="24"/>
          <w:szCs w:val="24"/>
        </w:rPr>
        <w:t>可以</w:t>
      </w:r>
      <w:r w:rsidR="005A338D" w:rsidRPr="00B470FE">
        <w:rPr>
          <w:rFonts w:ascii="Songti TC" w:eastAsia="Songti TC" w:hAnsi="Songti TC" w:cs="Times New Roman"/>
          <w:sz w:val="24"/>
          <w:szCs w:val="24"/>
        </w:rPr>
        <w:t>借助</w:t>
      </w:r>
      <w:r w:rsidR="00644602" w:rsidRPr="00B470FE">
        <w:rPr>
          <w:rFonts w:ascii="Songti TC" w:eastAsia="Songti TC" w:hAnsi="Songti TC" w:cs="Times New Roman"/>
          <w:sz w:val="24"/>
          <w:szCs w:val="24"/>
        </w:rPr>
        <w:t>维特根斯坦推荐的</w:t>
      </w:r>
      <w:r w:rsidR="005A338D" w:rsidRPr="00B470FE">
        <w:rPr>
          <w:rFonts w:ascii="Songti TC" w:eastAsia="Songti TC" w:hAnsi="Songti TC" w:cs="Times New Roman"/>
          <w:sz w:val="24"/>
          <w:szCs w:val="24"/>
        </w:rPr>
        <w:t>方法</w:t>
      </w:r>
      <w:r w:rsidRPr="00B470FE">
        <w:rPr>
          <w:rFonts w:ascii="Songti TC" w:eastAsia="Songti TC" w:hAnsi="Songti TC" w:cs="Times New Roman"/>
          <w:sz w:val="24"/>
          <w:szCs w:val="24"/>
        </w:rPr>
        <w:t>来</w:t>
      </w:r>
      <w:r w:rsidR="005A338D" w:rsidRPr="00B470FE">
        <w:rPr>
          <w:rFonts w:ascii="Songti TC" w:eastAsia="Songti TC" w:hAnsi="Songti TC" w:cs="Times New Roman"/>
          <w:sz w:val="24"/>
          <w:szCs w:val="24"/>
        </w:rPr>
        <w:t>列举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“</w:t>
      </w:r>
      <w:r w:rsidRPr="00B470FE">
        <w:rPr>
          <w:rFonts w:ascii="Songti TC" w:eastAsia="Songti TC" w:hAnsi="Songti TC" w:cs="Times New Roman"/>
          <w:sz w:val="24"/>
          <w:szCs w:val="24"/>
        </w:rPr>
        <w:t>仁”的一系列用法，从而辨识出它的关键涵义。“仁”的理论发明一般归于孔子，但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在孔子之前，</w:t>
      </w:r>
      <w:r w:rsidRPr="00B470FE">
        <w:rPr>
          <w:rFonts w:ascii="Songti TC" w:eastAsia="Songti TC" w:hAnsi="Songti TC" w:cs="Times New Roman"/>
          <w:sz w:val="24"/>
          <w:szCs w:val="24"/>
        </w:rPr>
        <w:t>仁的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概念便已经出现了，尽管那时还没有被广泛应用。以下是在孔子</w:t>
      </w:r>
      <w:r w:rsidRPr="00B470FE">
        <w:rPr>
          <w:rFonts w:ascii="Songti TC" w:eastAsia="Songti TC" w:hAnsi="Songti TC" w:cs="Times New Roman"/>
          <w:sz w:val="24"/>
          <w:szCs w:val="24"/>
        </w:rPr>
        <w:t>之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前的“仁”的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部分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早期</w:t>
      </w:r>
      <w:r w:rsidR="00945EC4" w:rsidRPr="00B470FE">
        <w:rPr>
          <w:rFonts w:ascii="Songti TC" w:eastAsia="Songti TC" w:hAnsi="Songti TC" w:cs="Times New Roman"/>
          <w:sz w:val="24"/>
          <w:szCs w:val="24"/>
        </w:rPr>
        <w:t>典型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 xml:space="preserve">用法： </w:t>
      </w:r>
    </w:p>
    <w:p w14:paraId="2BAAF5EB" w14:textId="77777777" w:rsidR="00D51369" w:rsidRPr="00B470FE" w:rsidRDefault="00D51369" w:rsidP="00B470FE">
      <w:pPr>
        <w:pStyle w:val="Listenabsatz"/>
        <w:numPr>
          <w:ilvl w:val="0"/>
          <w:numId w:val="3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“出门如宾，承事如祭，仁之则也。”</w:t>
      </w:r>
      <w:r w:rsidR="00390747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"/>
      </w:r>
    </w:p>
    <w:p w14:paraId="58A8F224" w14:textId="77777777" w:rsidR="00D51369" w:rsidRPr="00B470FE" w:rsidRDefault="006D7282" w:rsidP="00B470FE">
      <w:pPr>
        <w:pStyle w:val="Listenabsatz"/>
        <w:numPr>
          <w:ilvl w:val="0"/>
          <w:numId w:val="3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“恤民为德，正直为正，正曲为直，参合为仁。”</w:t>
      </w:r>
      <w:r w:rsidR="00390747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2"/>
      </w:r>
    </w:p>
    <w:p w14:paraId="645E2AA3" w14:textId="77777777" w:rsidR="00390747" w:rsidRPr="00B470FE" w:rsidRDefault="009F2A5D" w:rsidP="00B470FE">
      <w:pPr>
        <w:pStyle w:val="Listenabsatz"/>
        <w:numPr>
          <w:ilvl w:val="0"/>
          <w:numId w:val="3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“度公而行，仁也”。</w:t>
      </w:r>
      <w:r w:rsidR="00390747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3"/>
      </w:r>
    </w:p>
    <w:p w14:paraId="0B96AE12" w14:textId="77777777" w:rsidR="00D5762C" w:rsidRPr="00B470FE" w:rsidRDefault="00D5762C" w:rsidP="00B470FE">
      <w:pPr>
        <w:pStyle w:val="Listenabsatz"/>
        <w:numPr>
          <w:ilvl w:val="0"/>
          <w:numId w:val="3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“为仁者，爱亲之谓仁；为国者，利国之谓仁。”</w:t>
      </w:r>
      <w:r w:rsidR="00390747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4"/>
      </w:r>
    </w:p>
    <w:p w14:paraId="2EA0AFDF" w14:textId="77777777" w:rsidR="00DD1802" w:rsidRPr="00B470FE" w:rsidRDefault="00390747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这个列表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显示出</w:t>
      </w:r>
      <w:r w:rsidRPr="00B470FE">
        <w:rPr>
          <w:rFonts w:ascii="Songti TC" w:eastAsia="Songti TC" w:hAnsi="Songti TC" w:cs="Times New Roman"/>
          <w:sz w:val="24"/>
          <w:szCs w:val="24"/>
        </w:rPr>
        <w:t>“仁”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在早期有着</w:t>
      </w:r>
      <w:r w:rsidRPr="00B470FE">
        <w:rPr>
          <w:rFonts w:ascii="Songti TC" w:eastAsia="Songti TC" w:hAnsi="Songti TC" w:cs="Times New Roman"/>
          <w:sz w:val="24"/>
          <w:szCs w:val="24"/>
        </w:rPr>
        <w:t>多种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意义来源</w:t>
      </w:r>
      <w:r w:rsidRPr="00B470FE">
        <w:rPr>
          <w:rFonts w:ascii="Songti TC" w:eastAsia="Songti TC" w:hAnsi="Songti TC" w:cs="Times New Roman"/>
          <w:sz w:val="24"/>
          <w:szCs w:val="24"/>
        </w:rPr>
        <w:t>。一般认为，家族与血脉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情感</w:t>
      </w:r>
      <w:r w:rsidRPr="00B470FE">
        <w:rPr>
          <w:rFonts w:ascii="Songti TC" w:eastAsia="Songti TC" w:hAnsi="Songti TC" w:cs="Times New Roman"/>
          <w:sz w:val="24"/>
          <w:szCs w:val="24"/>
        </w:rPr>
        <w:t>是“仁”的主要来源。在此基础上，“仁”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逐步</w:t>
      </w:r>
      <w:r w:rsidRPr="00B470FE">
        <w:rPr>
          <w:rFonts w:ascii="Songti TC" w:eastAsia="Songti TC" w:hAnsi="Songti TC" w:cs="Times New Roman"/>
          <w:sz w:val="24"/>
          <w:szCs w:val="24"/>
        </w:rPr>
        <w:t>扩展为其他德性，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其中也</w:t>
      </w:r>
      <w:r w:rsidRPr="00B470FE">
        <w:rPr>
          <w:rFonts w:ascii="Songti TC" w:eastAsia="Songti TC" w:hAnsi="Songti TC" w:cs="Times New Roman"/>
          <w:sz w:val="24"/>
          <w:szCs w:val="24"/>
        </w:rPr>
        <w:t>有一些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与道德没有太大关系，</w:t>
      </w:r>
      <w:r w:rsidRPr="00B470FE">
        <w:rPr>
          <w:rFonts w:ascii="Songti TC" w:eastAsia="Songti TC" w:hAnsi="Songti TC" w:cs="Times New Roman"/>
          <w:sz w:val="24"/>
          <w:szCs w:val="24"/>
        </w:rPr>
        <w:t>比如“公正”与“忠于国家”，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与其说是道德的美德不如说是</w:t>
      </w:r>
      <w:r w:rsidRPr="00B470FE">
        <w:rPr>
          <w:rFonts w:ascii="Songti TC" w:eastAsia="Songti TC" w:hAnsi="Songti TC" w:cs="Times New Roman"/>
          <w:sz w:val="24"/>
          <w:szCs w:val="24"/>
        </w:rPr>
        <w:t>政治性的美德。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另外，</w:t>
      </w:r>
      <w:r w:rsidRPr="00B470FE">
        <w:rPr>
          <w:rFonts w:ascii="Songti TC" w:eastAsia="Songti TC" w:hAnsi="Songti TC" w:cs="Times New Roman"/>
          <w:sz w:val="24"/>
          <w:szCs w:val="24"/>
        </w:rPr>
        <w:t>有很多故事讲述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了</w:t>
      </w:r>
      <w:r w:rsidRPr="00B470FE">
        <w:rPr>
          <w:rFonts w:ascii="Songti TC" w:eastAsia="Songti TC" w:hAnsi="Songti TC" w:cs="Times New Roman"/>
          <w:sz w:val="24"/>
          <w:szCs w:val="24"/>
        </w:rPr>
        <w:t>孔子的学生频繁地</w:t>
      </w:r>
      <w:r w:rsidR="00E178FE" w:rsidRPr="00B470FE">
        <w:rPr>
          <w:rFonts w:ascii="Songti TC" w:eastAsia="Songti TC" w:hAnsi="Songti TC" w:cs="Times New Roman"/>
          <w:sz w:val="24"/>
          <w:szCs w:val="24"/>
        </w:rPr>
        <w:t>向</w:t>
      </w:r>
      <w:r w:rsidRPr="00B470FE">
        <w:rPr>
          <w:rFonts w:ascii="Songti TC" w:eastAsia="Songti TC" w:hAnsi="Songti TC" w:cs="Times New Roman"/>
          <w:sz w:val="24"/>
          <w:szCs w:val="24"/>
        </w:rPr>
        <w:t>孔子</w:t>
      </w:r>
      <w:r w:rsidR="00E178FE" w:rsidRPr="00B470FE">
        <w:rPr>
          <w:rFonts w:ascii="Songti TC" w:eastAsia="Songti TC" w:hAnsi="Songti TC" w:cs="Times New Roman"/>
          <w:sz w:val="24"/>
          <w:szCs w:val="24"/>
        </w:rPr>
        <w:t>请教</w:t>
      </w:r>
      <w:r w:rsidRPr="00B470FE">
        <w:rPr>
          <w:rFonts w:ascii="Songti TC" w:eastAsia="Songti TC" w:hAnsi="Songti TC" w:cs="Times New Roman"/>
          <w:sz w:val="24"/>
          <w:szCs w:val="24"/>
        </w:rPr>
        <w:t>“仁”到底是什么</w:t>
      </w:r>
      <w:r w:rsidR="00E178FE" w:rsidRPr="00B470FE">
        <w:rPr>
          <w:rFonts w:ascii="Songti TC" w:eastAsia="Songti TC" w:hAnsi="Songti TC" w:cs="Times New Roman"/>
          <w:sz w:val="24"/>
          <w:szCs w:val="24"/>
        </w:rPr>
        <w:t>，</w:t>
      </w:r>
      <w:r w:rsidRPr="00B470FE">
        <w:rPr>
          <w:rFonts w:ascii="Songti TC" w:eastAsia="Songti TC" w:hAnsi="Songti TC" w:cs="Times New Roman"/>
          <w:sz w:val="24"/>
          <w:szCs w:val="24"/>
        </w:rPr>
        <w:t>这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多少</w:t>
      </w:r>
      <w:r w:rsidRPr="00B470FE">
        <w:rPr>
          <w:rFonts w:ascii="Songti TC" w:eastAsia="Songti TC" w:hAnsi="Songti TC" w:cs="Times New Roman"/>
          <w:sz w:val="24"/>
          <w:szCs w:val="24"/>
        </w:rPr>
        <w:t>说明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了，</w:t>
      </w:r>
      <w:r w:rsidRPr="00B470FE">
        <w:rPr>
          <w:rFonts w:ascii="Songti TC" w:eastAsia="Songti TC" w:hAnsi="Songti TC" w:cs="Times New Roman"/>
          <w:sz w:val="24"/>
          <w:szCs w:val="24"/>
        </w:rPr>
        <w:t>在孔子的年代，“仁”的概念还缺乏一个标准化的定义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或一致理解。于是，</w:t>
      </w:r>
      <w:r w:rsidRPr="00B470FE">
        <w:rPr>
          <w:rFonts w:ascii="Songti TC" w:eastAsia="Songti TC" w:hAnsi="Songti TC" w:cs="Times New Roman"/>
          <w:sz w:val="24"/>
          <w:szCs w:val="24"/>
        </w:rPr>
        <w:t>孔子</w:t>
      </w:r>
      <w:r w:rsidR="009F2A5D" w:rsidRPr="00B470FE">
        <w:rPr>
          <w:rFonts w:ascii="Songti TC" w:eastAsia="Songti TC" w:hAnsi="Songti TC" w:cs="Times New Roman"/>
          <w:sz w:val="24"/>
          <w:szCs w:val="24"/>
        </w:rPr>
        <w:t>给出了若干具有创造性的解释</w:t>
      </w:r>
      <w:r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6587D4DA" w14:textId="77777777" w:rsidR="00DD1802" w:rsidRPr="00B470FE" w:rsidRDefault="009F2A5D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自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孔子（</w:t>
      </w:r>
      <w:r w:rsidR="004448A6" w:rsidRPr="00B470FE">
        <w:rPr>
          <w:rFonts w:ascii="Songti TC" w:eastAsia="Songti TC" w:hAnsi="Songti TC" w:cs="Times New Roman"/>
          <w:sz w:val="24"/>
          <w:szCs w:val="24"/>
        </w:rPr>
        <w:t>前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551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年</w:t>
      </w:r>
      <w:r w:rsidR="00E320E8" w:rsidRPr="00B470FE">
        <w:rPr>
          <w:rFonts w:ascii="Songti TC" w:eastAsia="Songti TC" w:hAnsi="Songti TC" w:cs="Times New Roman"/>
          <w:sz w:val="24"/>
          <w:szCs w:val="24"/>
        </w:rPr>
        <w:t>-</w:t>
      </w:r>
      <w:r w:rsidR="00390747" w:rsidRPr="00B470FE">
        <w:rPr>
          <w:rFonts w:ascii="Songti TC" w:eastAsia="Songti TC" w:hAnsi="Songti TC" w:cs="Times New Roman"/>
          <w:sz w:val="24"/>
          <w:szCs w:val="24"/>
        </w:rPr>
        <w:t>前479年）至今的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2000多年时间里，</w:t>
      </w:r>
      <w:r w:rsidR="00053FC8" w:rsidRPr="00B470FE">
        <w:rPr>
          <w:rFonts w:ascii="Songti TC" w:eastAsia="Songti TC" w:hAnsi="Songti TC" w:cs="Times New Roman"/>
          <w:sz w:val="24"/>
          <w:szCs w:val="24"/>
        </w:rPr>
        <w:t>包括孔子本人在内的儒家们对仁的概念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给出了</w:t>
      </w:r>
      <w:r w:rsidR="00053FC8" w:rsidRPr="00B470FE">
        <w:rPr>
          <w:rFonts w:ascii="Songti TC" w:eastAsia="Songti TC" w:hAnsi="Songti TC" w:cs="Times New Roman"/>
          <w:sz w:val="24"/>
          <w:szCs w:val="24"/>
        </w:rPr>
        <w:t>众多解释，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以下</w:t>
      </w:r>
      <w:r w:rsidR="00053FC8" w:rsidRPr="00B470FE">
        <w:rPr>
          <w:rFonts w:ascii="Songti TC" w:eastAsia="Songti TC" w:hAnsi="Songti TC" w:cs="Times New Roman"/>
          <w:sz w:val="24"/>
          <w:szCs w:val="24"/>
        </w:rPr>
        <w:t>选取了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其中10种，选取的标准是根据</w:t>
      </w:r>
      <w:r w:rsidR="00053FC8" w:rsidRPr="00B470FE">
        <w:rPr>
          <w:rFonts w:ascii="Songti TC" w:eastAsia="Songti TC" w:hAnsi="Songti TC" w:cs="Times New Roman"/>
          <w:sz w:val="24"/>
          <w:szCs w:val="24"/>
        </w:rPr>
        <w:t>这些解释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的</w:t>
      </w:r>
      <w:r w:rsidR="00053FC8" w:rsidRPr="00B470FE">
        <w:rPr>
          <w:rFonts w:ascii="Songti TC" w:eastAsia="Songti TC" w:hAnsi="Songti TC" w:cs="Times New Roman"/>
          <w:sz w:val="24"/>
          <w:szCs w:val="24"/>
        </w:rPr>
        <w:t>被接受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度、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可识别度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、理论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意义以及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哲学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潜力的大小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26FD9D0B" w14:textId="77777777" w:rsidR="009469C9" w:rsidRPr="00B470FE" w:rsidRDefault="00E97347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“仁”的具有普遍性的最好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定义是孔子提出的，被看作是“</w:t>
      </w:r>
      <w:r w:rsidR="00840931" w:rsidRPr="00B470FE">
        <w:rPr>
          <w:rFonts w:ascii="Songti TC" w:eastAsia="Songti TC" w:hAnsi="Songti TC" w:cs="Times New Roman"/>
          <w:b/>
          <w:bCs/>
          <w:sz w:val="24"/>
          <w:szCs w:val="24"/>
        </w:rPr>
        <w:t>孔子原则</w:t>
      </w:r>
      <w:r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，即“</w:t>
      </w:r>
      <w:r w:rsidR="009469C9" w:rsidRPr="00B470FE">
        <w:rPr>
          <w:rFonts w:ascii="Songti TC" w:eastAsia="Songti TC" w:hAnsi="Songti TC" w:cs="Times New Roman"/>
          <w:sz w:val="24"/>
          <w:szCs w:val="24"/>
        </w:rPr>
        <w:t>夫</w:t>
      </w:r>
      <w:r w:rsidR="009469C9" w:rsidRPr="00B470FE">
        <w:rPr>
          <w:rFonts w:ascii="Songti TC" w:eastAsia="Songti TC" w:hAnsi="Songti TC" w:cs="Times New Roman"/>
          <w:sz w:val="24"/>
          <w:szCs w:val="24"/>
        </w:rPr>
        <w:lastRenderedPageBreak/>
        <w:t>仁者，己欲立而立人，己欲达而达人”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5"/>
      </w:r>
      <w:r w:rsidR="009469C9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6A7E6D69" w14:textId="77777777" w:rsidR="009469C9" w:rsidRPr="00B470FE" w:rsidRDefault="00E97347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孔子给出的</w:t>
      </w:r>
      <w:r w:rsidR="00E6253F" w:rsidRPr="00B470FE">
        <w:rPr>
          <w:rFonts w:ascii="Songti TC" w:eastAsia="Songti TC" w:hAnsi="Songti TC" w:cs="Times New Roman"/>
          <w:sz w:val="24"/>
          <w:szCs w:val="24"/>
        </w:rPr>
        <w:t>第二个定义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也被广为引述，</w:t>
      </w:r>
      <w:r w:rsidRPr="00B470FE">
        <w:rPr>
          <w:rFonts w:ascii="Songti TC" w:eastAsia="Songti TC" w:hAnsi="Songti TC" w:cs="Times New Roman"/>
          <w:sz w:val="24"/>
          <w:szCs w:val="24"/>
        </w:rPr>
        <w:t>是一个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与《圣经》的金规则类似的命题：“</w:t>
      </w:r>
      <w:r w:rsidR="00E6253F" w:rsidRPr="00B470FE">
        <w:rPr>
          <w:rFonts w:ascii="Songti TC" w:eastAsia="Songti TC" w:hAnsi="Songti TC" w:cs="Times New Roman"/>
          <w:bCs/>
          <w:sz w:val="24"/>
          <w:szCs w:val="24"/>
        </w:rPr>
        <w:t>己所不欲，勿施于人</w:t>
      </w:r>
      <w:r w:rsidR="00E6253F" w:rsidRPr="00B470FE">
        <w:rPr>
          <w:rFonts w:ascii="Songti TC" w:eastAsia="Songti TC" w:hAnsi="Songti TC" w:cs="Times New Roman"/>
          <w:sz w:val="24"/>
          <w:szCs w:val="24"/>
        </w:rPr>
        <w:t>。在邦无怨，在家无怨”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6"/>
      </w:r>
      <w:r w:rsidR="00E6253F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0F383AC0" w14:textId="77777777" w:rsidR="00E6253F" w:rsidRPr="00B470FE" w:rsidRDefault="00E6253F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孔子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还</w:t>
      </w:r>
      <w:r w:rsidRPr="00B470FE">
        <w:rPr>
          <w:rFonts w:ascii="Songti TC" w:eastAsia="Songti TC" w:hAnsi="Songti TC" w:cs="Times New Roman"/>
          <w:sz w:val="24"/>
          <w:szCs w:val="24"/>
        </w:rPr>
        <w:t>将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“</w:t>
      </w:r>
      <w:r w:rsidRPr="00B470FE">
        <w:rPr>
          <w:rFonts w:ascii="Songti TC" w:eastAsia="Songti TC" w:hAnsi="Songti TC" w:cs="Times New Roman"/>
          <w:sz w:val="24"/>
          <w:szCs w:val="24"/>
        </w:rPr>
        <w:t>仁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”</w:t>
      </w:r>
      <w:r w:rsidRPr="00B470FE">
        <w:rPr>
          <w:rFonts w:ascii="Songti TC" w:eastAsia="Songti TC" w:hAnsi="Songti TC" w:cs="Times New Roman"/>
          <w:sz w:val="24"/>
          <w:szCs w:val="24"/>
        </w:rPr>
        <w:t>的源头解释为“孝弟也者，其为仁之本与！”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7"/>
      </w:r>
    </w:p>
    <w:p w14:paraId="7B3296E9" w14:textId="77777777" w:rsidR="00E6253F" w:rsidRPr="00B470FE" w:rsidRDefault="00E6253F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孔子曾给出一个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最简练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但可能过于简单化</w:t>
      </w:r>
      <w:r w:rsidRPr="00B470FE">
        <w:rPr>
          <w:rFonts w:ascii="Songti TC" w:eastAsia="Songti TC" w:hAnsi="Songti TC" w:cs="Times New Roman"/>
          <w:sz w:val="24"/>
          <w:szCs w:val="24"/>
        </w:rPr>
        <w:t>的定义，即“爱人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8"/>
      </w:r>
      <w:r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5ED46D91" w14:textId="77777777" w:rsidR="00FA6CC3" w:rsidRPr="00B470FE" w:rsidRDefault="00FA6CC3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然而，孔子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并不是说要</w:t>
      </w:r>
      <w:r w:rsidRPr="00B470FE">
        <w:rPr>
          <w:rFonts w:ascii="Songti TC" w:eastAsia="Songti TC" w:hAnsi="Songti TC" w:cs="Times New Roman"/>
          <w:sz w:val="24"/>
          <w:szCs w:val="24"/>
        </w:rPr>
        <w:t>爱每一个人：“唯仁者能好人，能恶人”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9"/>
      </w:r>
      <w:r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167C3682" w14:textId="77777777" w:rsidR="00575EE3" w:rsidRPr="00B470FE" w:rsidRDefault="00327BBE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孔子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还</w:t>
      </w:r>
      <w:r w:rsidRPr="00B470FE">
        <w:rPr>
          <w:rFonts w:ascii="Songti TC" w:eastAsia="Songti TC" w:hAnsi="Songti TC" w:cs="Times New Roman"/>
          <w:sz w:val="24"/>
          <w:szCs w:val="24"/>
        </w:rPr>
        <w:t>将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“仁”视为</w:t>
      </w:r>
      <w:r w:rsidRPr="00B470FE">
        <w:rPr>
          <w:rFonts w:ascii="Songti TC" w:eastAsia="Songti TC" w:hAnsi="Songti TC" w:cs="Times New Roman"/>
          <w:sz w:val="24"/>
          <w:szCs w:val="24"/>
        </w:rPr>
        <w:t>文明的根基：“人而不仁，如礼何？人而不仁，如乐何？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84093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0"/>
      </w:r>
    </w:p>
    <w:p w14:paraId="3643E31B" w14:textId="77777777" w:rsidR="00327BBE" w:rsidRPr="00B470FE" w:rsidRDefault="00327BBE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子思（</w:t>
      </w:r>
      <w:r w:rsidR="00E320E8" w:rsidRPr="00B470FE">
        <w:rPr>
          <w:rFonts w:ascii="Songti TC" w:eastAsia="Songti TC" w:hAnsi="Songti TC" w:cs="Times New Roman"/>
          <w:sz w:val="24"/>
          <w:szCs w:val="24"/>
        </w:rPr>
        <w:t>前</w:t>
      </w:r>
      <w:r w:rsidRPr="00B470FE">
        <w:rPr>
          <w:rFonts w:ascii="Songti TC" w:eastAsia="Songti TC" w:hAnsi="Songti TC" w:cs="Times New Roman"/>
          <w:sz w:val="24"/>
          <w:szCs w:val="24"/>
        </w:rPr>
        <w:t>483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年</w:t>
      </w:r>
      <w:r w:rsidR="00E320E8" w:rsidRPr="00B470FE">
        <w:rPr>
          <w:rFonts w:ascii="Songti TC" w:eastAsia="Songti TC" w:hAnsi="Songti TC" w:cs="Times New Roman"/>
          <w:sz w:val="24"/>
          <w:szCs w:val="24"/>
        </w:rPr>
        <w:t>-</w:t>
      </w:r>
      <w:r w:rsidRPr="00B470FE">
        <w:rPr>
          <w:rFonts w:ascii="Songti TC" w:eastAsia="Songti TC" w:hAnsi="Songti TC" w:cs="Times New Roman"/>
          <w:sz w:val="24"/>
          <w:szCs w:val="24"/>
        </w:rPr>
        <w:t>前402</w:t>
      </w:r>
      <w:r w:rsidR="00840931" w:rsidRPr="00B470FE">
        <w:rPr>
          <w:rFonts w:ascii="Songti TC" w:eastAsia="Songti TC" w:hAnsi="Songti TC" w:cs="Times New Roman"/>
          <w:sz w:val="24"/>
          <w:szCs w:val="24"/>
        </w:rPr>
        <w:t>年</w:t>
      </w:r>
      <w:r w:rsidRPr="00B470FE">
        <w:rPr>
          <w:rFonts w:ascii="Songti TC" w:eastAsia="Songti TC" w:hAnsi="Songti TC" w:cs="Times New Roman"/>
          <w:sz w:val="24"/>
          <w:szCs w:val="24"/>
        </w:rPr>
        <w:t>），孔子</w:t>
      </w:r>
      <w:r w:rsidR="00E97347" w:rsidRPr="00B470FE">
        <w:rPr>
          <w:rFonts w:ascii="Songti TC" w:eastAsia="Songti TC" w:hAnsi="Songti TC" w:cs="Times New Roman"/>
          <w:sz w:val="24"/>
          <w:szCs w:val="24"/>
        </w:rPr>
        <w:t>之</w:t>
      </w:r>
      <w:r w:rsidRPr="00B470FE">
        <w:rPr>
          <w:rFonts w:ascii="Songti TC" w:eastAsia="Songti TC" w:hAnsi="Songti TC" w:cs="Times New Roman"/>
          <w:sz w:val="24"/>
          <w:szCs w:val="24"/>
        </w:rPr>
        <w:t>嫡孙，</w:t>
      </w:r>
      <w:r w:rsidR="0016045F" w:rsidRPr="00B470FE">
        <w:rPr>
          <w:rFonts w:ascii="Songti TC" w:eastAsia="Songti TC" w:hAnsi="Songti TC" w:cs="Times New Roman"/>
          <w:sz w:val="24"/>
          <w:szCs w:val="24"/>
        </w:rPr>
        <w:t>进一步将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“</w:t>
      </w:r>
      <w:r w:rsidR="0016045F" w:rsidRPr="00B470FE">
        <w:rPr>
          <w:rFonts w:ascii="Songti TC" w:eastAsia="Songti TC" w:hAnsi="Songti TC" w:cs="Times New Roman"/>
          <w:sz w:val="24"/>
          <w:szCs w:val="24"/>
        </w:rPr>
        <w:t>仁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16045F" w:rsidRPr="00B470FE">
        <w:rPr>
          <w:rFonts w:ascii="Songti TC" w:eastAsia="Songti TC" w:hAnsi="Songti TC" w:cs="Times New Roman"/>
          <w:sz w:val="24"/>
          <w:szCs w:val="24"/>
        </w:rPr>
        <w:t>的概念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解释</w:t>
      </w:r>
      <w:r w:rsidR="0016045F" w:rsidRPr="00B470FE">
        <w:rPr>
          <w:rFonts w:ascii="Songti TC" w:eastAsia="Songti TC" w:hAnsi="Songti TC" w:cs="Times New Roman"/>
          <w:sz w:val="24"/>
          <w:szCs w:val="24"/>
        </w:rPr>
        <w:t>为“</w:t>
      </w:r>
      <w:r w:rsidR="00274E60" w:rsidRPr="00B470FE">
        <w:rPr>
          <w:rFonts w:ascii="Songti TC" w:eastAsia="Songti TC" w:hAnsi="Songti TC" w:cs="Times New Roman"/>
          <w:sz w:val="24"/>
          <w:szCs w:val="24"/>
        </w:rPr>
        <w:t>仁者人也，亲亲为大；义者宜也，尊贤为大”</w:t>
      </w:r>
      <w:r w:rsidR="00FD16B0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1"/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。他</w:t>
      </w:r>
      <w:r w:rsidR="00D03003" w:rsidRPr="00B470FE">
        <w:rPr>
          <w:rFonts w:ascii="Songti TC" w:eastAsia="Songti TC" w:hAnsi="Songti TC" w:cs="Times New Roman"/>
          <w:sz w:val="24"/>
          <w:szCs w:val="24"/>
        </w:rPr>
        <w:t>第一个将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“</w:t>
      </w:r>
      <w:r w:rsidR="00D03003" w:rsidRPr="00B470FE">
        <w:rPr>
          <w:rFonts w:ascii="Songti TC" w:eastAsia="Songti TC" w:hAnsi="Songti TC" w:cs="Times New Roman"/>
          <w:sz w:val="24"/>
          <w:szCs w:val="24"/>
        </w:rPr>
        <w:t>仁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D03003" w:rsidRPr="00B470FE">
        <w:rPr>
          <w:rFonts w:ascii="Songti TC" w:eastAsia="Songti TC" w:hAnsi="Songti TC" w:cs="Times New Roman"/>
          <w:sz w:val="24"/>
          <w:szCs w:val="24"/>
        </w:rPr>
        <w:t>和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“</w:t>
      </w:r>
      <w:r w:rsidR="00D03003" w:rsidRPr="00B470FE">
        <w:rPr>
          <w:rFonts w:ascii="Songti TC" w:eastAsia="Songti TC" w:hAnsi="Songti TC" w:cs="Times New Roman"/>
          <w:sz w:val="24"/>
          <w:szCs w:val="24"/>
        </w:rPr>
        <w:t>义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联系在一起来</w:t>
      </w:r>
      <w:r w:rsidR="00D03003" w:rsidRPr="00B470FE">
        <w:rPr>
          <w:rFonts w:ascii="Songti TC" w:eastAsia="Songti TC" w:hAnsi="Songti TC" w:cs="Times New Roman"/>
          <w:sz w:val="24"/>
          <w:szCs w:val="24"/>
        </w:rPr>
        <w:t>定义道德的两面。</w:t>
      </w:r>
    </w:p>
    <w:p w14:paraId="656C6064" w14:textId="77777777" w:rsidR="00D03003" w:rsidRPr="00B470FE" w:rsidRDefault="00D03003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孟子（前372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年-</w:t>
      </w:r>
      <w:r w:rsidRPr="00B470FE">
        <w:rPr>
          <w:rFonts w:ascii="Songti TC" w:eastAsia="Songti TC" w:hAnsi="Songti TC" w:cs="Times New Roman"/>
          <w:sz w:val="24"/>
          <w:szCs w:val="24"/>
        </w:rPr>
        <w:t>前289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年</w:t>
      </w:r>
      <w:r w:rsidRPr="00B470FE">
        <w:rPr>
          <w:rFonts w:ascii="Songti TC" w:eastAsia="Songti TC" w:hAnsi="Songti TC" w:cs="Times New Roman"/>
          <w:sz w:val="24"/>
          <w:szCs w:val="24"/>
        </w:rPr>
        <w:t>），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重要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性仅次于孔子的儒家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，在子思之后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也同样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将“仁”与“义”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联系起来理解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：</w:t>
      </w:r>
      <w:r w:rsidR="00977310" w:rsidRPr="00B470FE">
        <w:rPr>
          <w:rFonts w:ascii="Songti TC" w:eastAsia="Songti TC" w:hAnsi="Songti TC" w:cs="Times New Roman"/>
          <w:sz w:val="24"/>
          <w:szCs w:val="24"/>
        </w:rPr>
        <w:t>“仁，人之安宅也；义，人之正路也”</w:t>
      </w:r>
      <w:r w:rsidR="00FD16B0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2"/>
      </w:r>
      <w:r w:rsidR="00977310" w:rsidRPr="00B470FE">
        <w:rPr>
          <w:rFonts w:ascii="Songti TC" w:eastAsia="Songti TC" w:hAnsi="Songti TC" w:cs="Times New Roman"/>
          <w:sz w:val="24"/>
          <w:szCs w:val="24"/>
        </w:rPr>
        <w:t>。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或者说</w:t>
      </w:r>
      <w:r w:rsidR="00977310" w:rsidRPr="00B470FE">
        <w:rPr>
          <w:rFonts w:ascii="Songti TC" w:eastAsia="Songti TC" w:hAnsi="Songti TC" w:cs="Times New Roman"/>
          <w:sz w:val="24"/>
          <w:szCs w:val="24"/>
        </w:rPr>
        <w:t>，“仁，人心也；义，人路也”</w:t>
      </w:r>
      <w:r w:rsidR="00FD16B0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3"/>
      </w:r>
      <w:r w:rsidR="00977310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09BAD784" w14:textId="77777777" w:rsidR="00977310" w:rsidRPr="00B470FE" w:rsidRDefault="00977310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董仲舒（前170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年-</w:t>
      </w:r>
      <w:r w:rsidRPr="00B470FE">
        <w:rPr>
          <w:rFonts w:ascii="Songti TC" w:eastAsia="Songti TC" w:hAnsi="Songti TC" w:cs="Times New Roman"/>
          <w:sz w:val="24"/>
          <w:szCs w:val="24"/>
        </w:rPr>
        <w:t>前104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年</w:t>
      </w:r>
      <w:r w:rsidRPr="00B470FE">
        <w:rPr>
          <w:rFonts w:ascii="Songti TC" w:eastAsia="Songti TC" w:hAnsi="Songti TC" w:cs="Times New Roman"/>
          <w:sz w:val="24"/>
          <w:szCs w:val="24"/>
        </w:rPr>
        <w:t>），中国</w:t>
      </w:r>
      <w:r w:rsidR="00FB50D7" w:rsidRPr="00B470FE">
        <w:rPr>
          <w:rFonts w:ascii="Songti TC" w:eastAsia="Songti TC" w:hAnsi="Songti TC" w:cs="Times New Roman"/>
          <w:sz w:val="24"/>
          <w:szCs w:val="24"/>
        </w:rPr>
        <w:t>经学</w:t>
      </w:r>
      <w:r w:rsidRPr="00B470FE">
        <w:rPr>
          <w:rFonts w:ascii="Songti TC" w:eastAsia="Songti TC" w:hAnsi="Songti TC" w:cs="Times New Roman"/>
          <w:sz w:val="24"/>
          <w:szCs w:val="24"/>
        </w:rPr>
        <w:t>或古典学的创始人</w:t>
      </w:r>
      <w:r w:rsidR="00FB50D7" w:rsidRPr="00B470FE">
        <w:rPr>
          <w:rFonts w:ascii="Songti TC" w:eastAsia="Songti TC" w:hAnsi="Songti TC" w:cs="Times New Roman"/>
          <w:sz w:val="24"/>
          <w:szCs w:val="24"/>
        </w:rPr>
        <w:t>，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曾给出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多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lastRenderedPageBreak/>
        <w:t>种</w:t>
      </w:r>
      <w:r w:rsidR="00A4138B" w:rsidRPr="00B470FE">
        <w:rPr>
          <w:rFonts w:ascii="Songti TC" w:eastAsia="Songti TC" w:hAnsi="Songti TC" w:cs="Times New Roman"/>
          <w:sz w:val="24"/>
          <w:szCs w:val="24"/>
        </w:rPr>
        <w:t>深刻而有新意的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解释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，其中有</w:t>
      </w:r>
      <w:r w:rsidR="00FB50D7" w:rsidRPr="00B470FE">
        <w:rPr>
          <w:rFonts w:ascii="Songti TC" w:eastAsia="Songti TC" w:hAnsi="Songti TC" w:cs="Times New Roman"/>
          <w:sz w:val="24"/>
          <w:szCs w:val="24"/>
        </w:rPr>
        <w:t>：“</w:t>
      </w:r>
      <w:r w:rsidR="000113C5" w:rsidRPr="00B470FE">
        <w:rPr>
          <w:rFonts w:ascii="Songti TC" w:eastAsia="Songti TC" w:hAnsi="Songti TC" w:cs="Times New Roman"/>
          <w:sz w:val="24"/>
          <w:szCs w:val="24"/>
        </w:rPr>
        <w:t>仁之法在爱人，不在爱我。义之法在正我，不在正人</w:t>
      </w:r>
      <w:r w:rsidR="00472B2A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FD16B0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4"/>
      </w:r>
      <w:r w:rsidR="00472B2A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5FEA87BE" w14:textId="77777777" w:rsidR="005365D3" w:rsidRPr="00B470FE" w:rsidRDefault="00A4138B" w:rsidP="00B470FE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还有一个</w:t>
      </w:r>
      <w:r w:rsidR="00FD16B0" w:rsidRPr="00B470FE">
        <w:rPr>
          <w:rFonts w:ascii="Songti TC" w:eastAsia="Songti TC" w:hAnsi="Songti TC" w:cs="Times New Roman"/>
          <w:sz w:val="24"/>
          <w:szCs w:val="24"/>
        </w:rPr>
        <w:t>优美</w:t>
      </w:r>
      <w:r w:rsidR="00472B2A" w:rsidRPr="00B470FE">
        <w:rPr>
          <w:rFonts w:ascii="Songti TC" w:eastAsia="Songti TC" w:hAnsi="Songti TC" w:cs="Times New Roman"/>
          <w:sz w:val="24"/>
          <w:szCs w:val="24"/>
        </w:rPr>
        <w:t>的</w:t>
      </w:r>
      <w:r w:rsidR="009C5BAE" w:rsidRPr="00B470FE">
        <w:rPr>
          <w:rFonts w:ascii="Songti TC" w:eastAsia="Songti TC" w:hAnsi="Songti TC" w:cs="Times New Roman"/>
          <w:sz w:val="24"/>
          <w:szCs w:val="24"/>
        </w:rPr>
        <w:t>解释，也</w:t>
      </w:r>
      <w:r w:rsidR="00472B2A" w:rsidRPr="00B470FE">
        <w:rPr>
          <w:rFonts w:ascii="Songti TC" w:eastAsia="Songti TC" w:hAnsi="Songti TC" w:cs="Times New Roman"/>
          <w:sz w:val="24"/>
          <w:szCs w:val="24"/>
        </w:rPr>
        <w:t>来自董仲舒：“</w:t>
      </w:r>
      <w:r w:rsidR="00C06936" w:rsidRPr="00B470FE">
        <w:rPr>
          <w:rFonts w:ascii="Songti TC" w:eastAsia="Songti TC" w:hAnsi="Songti TC" w:cs="Times New Roman"/>
          <w:sz w:val="24"/>
          <w:szCs w:val="24"/>
        </w:rPr>
        <w:t>仁造人，义造我也</w:t>
      </w:r>
      <w:r w:rsidR="000113C5" w:rsidRPr="00B470FE">
        <w:rPr>
          <w:rFonts w:ascii="Songti TC" w:eastAsia="Songti TC" w:hAnsi="Songti TC" w:cs="Times New Roman"/>
          <w:sz w:val="24"/>
          <w:szCs w:val="24"/>
        </w:rPr>
        <w:t>”</w:t>
      </w:r>
      <w:r w:rsidR="00FD16B0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5"/>
      </w:r>
      <w:r w:rsidR="000113C5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436664FB" w14:textId="77777777" w:rsidR="005365D3" w:rsidRPr="00B470FE" w:rsidRDefault="00CD7DC0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通过以上</w:t>
      </w:r>
      <w:r w:rsidR="00A4138B" w:rsidRPr="00B470FE">
        <w:rPr>
          <w:rFonts w:ascii="Songti TC" w:eastAsia="Songti TC" w:hAnsi="Songti TC" w:cs="Times New Roman"/>
          <w:sz w:val="24"/>
          <w:szCs w:val="24"/>
        </w:rPr>
        <w:t>这些经典</w:t>
      </w:r>
      <w:r w:rsidRPr="00B470FE">
        <w:rPr>
          <w:rFonts w:ascii="Songti TC" w:eastAsia="Songti TC" w:hAnsi="Songti TC" w:cs="Times New Roman"/>
          <w:sz w:val="24"/>
          <w:szCs w:val="24"/>
        </w:rPr>
        <w:t>说法不难发现，“仁”定义了任意两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人之间的最优相互关系，也就是能够普遍应用到一切人身上的相互关系，因此</w:t>
      </w:r>
      <w:r w:rsidRPr="00B470FE">
        <w:rPr>
          <w:rFonts w:ascii="Songti TC" w:eastAsia="Songti TC" w:hAnsi="Songti TC" w:cs="Times New Roman"/>
          <w:sz w:val="24"/>
          <w:szCs w:val="24"/>
        </w:rPr>
        <w:t>“仁”可以获得普遍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认同，最大程度</w:t>
      </w:r>
      <w:r w:rsidR="003400CF" w:rsidRPr="00B470FE">
        <w:rPr>
          <w:rFonts w:ascii="Songti TC" w:eastAsia="Songti TC" w:hAnsi="Songti TC" w:cs="Times New Roman"/>
          <w:sz w:val="24"/>
          <w:szCs w:val="24"/>
        </w:rPr>
        <w:t>减少了</w:t>
      </w:r>
      <w:r w:rsidRPr="00B470FE">
        <w:rPr>
          <w:rFonts w:ascii="Songti TC" w:eastAsia="Songti TC" w:hAnsi="Songti TC" w:cs="Times New Roman"/>
          <w:sz w:val="24"/>
          <w:szCs w:val="24"/>
        </w:rPr>
        <w:t>分歧的可能性。根据孔子原则</w:t>
      </w:r>
      <w:r w:rsidR="007E7F24" w:rsidRPr="00B470FE">
        <w:rPr>
          <w:rFonts w:ascii="Songti TC" w:eastAsia="Songti TC" w:hAnsi="Songti TC" w:cs="Times New Roman"/>
          <w:sz w:val="24"/>
          <w:szCs w:val="24"/>
        </w:rPr>
        <w:t>“己欲立而立人，己欲达而达人”，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“仁”的涵义至少</w:t>
      </w:r>
      <w:r w:rsidRPr="00B470FE">
        <w:rPr>
          <w:rFonts w:ascii="Songti TC" w:eastAsia="Songti TC" w:hAnsi="Songti TC" w:cs="Times New Roman"/>
          <w:sz w:val="24"/>
          <w:szCs w:val="24"/>
        </w:rPr>
        <w:t>等同于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而且</w:t>
      </w:r>
      <w:r w:rsidRPr="00B470FE">
        <w:rPr>
          <w:rFonts w:ascii="Songti TC" w:eastAsia="Songti TC" w:hAnsi="Songti TC" w:cs="Times New Roman"/>
          <w:sz w:val="24"/>
          <w:szCs w:val="24"/>
        </w:rPr>
        <w:t>甚至优于道德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的</w:t>
      </w:r>
      <w:r w:rsidRPr="00B470FE">
        <w:rPr>
          <w:rFonts w:ascii="Songti TC" w:eastAsia="Songti TC" w:hAnsi="Songti TC" w:cs="Times New Roman"/>
          <w:sz w:val="24"/>
          <w:szCs w:val="24"/>
        </w:rPr>
        <w:t>金规则，因为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仁的原则里</w:t>
      </w:r>
      <w:r w:rsidRPr="00B470FE">
        <w:rPr>
          <w:rFonts w:ascii="Songti TC" w:eastAsia="Songti TC" w:hAnsi="Songti TC" w:cs="Times New Roman"/>
          <w:sz w:val="24"/>
          <w:szCs w:val="24"/>
        </w:rPr>
        <w:t>还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考虑到了社会正义与永久和平。在生活中，仁的</w:t>
      </w:r>
      <w:r w:rsidRPr="00B470FE">
        <w:rPr>
          <w:rFonts w:ascii="Songti TC" w:eastAsia="Songti TC" w:hAnsi="Songti TC" w:cs="Times New Roman"/>
          <w:sz w:val="24"/>
          <w:szCs w:val="24"/>
        </w:rPr>
        <w:t>最好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实例</w:t>
      </w:r>
      <w:r w:rsidRPr="00B470FE">
        <w:rPr>
          <w:rFonts w:ascii="Songti TC" w:eastAsia="Songti TC" w:hAnsi="Songti TC" w:cs="Times New Roman"/>
          <w:sz w:val="24"/>
          <w:szCs w:val="24"/>
        </w:rPr>
        <w:t>就是“爱”。</w:t>
      </w:r>
    </w:p>
    <w:p w14:paraId="4A3CCCAC" w14:textId="77777777" w:rsidR="00A43933" w:rsidRPr="00B470FE" w:rsidRDefault="00D403FC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“仁”的概念将“</w:t>
      </w:r>
      <w:r w:rsidRPr="00B470FE">
        <w:rPr>
          <w:rFonts w:ascii="Songti TC" w:eastAsia="Songti TC" w:hAnsi="Songti TC" w:cs="Times New Roman"/>
          <w:b/>
          <w:bCs/>
          <w:sz w:val="24"/>
          <w:szCs w:val="24"/>
        </w:rPr>
        <w:t>关系主义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”</w:t>
      </w:r>
      <w:r w:rsidRPr="00B470FE">
        <w:rPr>
          <w:rFonts w:ascii="Songti TC" w:eastAsia="Songti TC" w:hAnsi="Songti TC" w:cs="Times New Roman"/>
          <w:sz w:val="24"/>
          <w:szCs w:val="24"/>
        </w:rPr>
        <w:t>确立为中国思想和文明的基础，尤其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是形成</w:t>
      </w:r>
      <w:r w:rsidR="003400CF" w:rsidRPr="00B470FE">
        <w:rPr>
          <w:rFonts w:ascii="Songti TC" w:eastAsia="Songti TC" w:hAnsi="Songti TC" w:cs="Times New Roman"/>
          <w:sz w:val="24"/>
          <w:szCs w:val="24"/>
        </w:rPr>
        <w:t>了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对</w:t>
      </w:r>
      <w:r w:rsidRPr="00B470FE">
        <w:rPr>
          <w:rFonts w:ascii="Songti TC" w:eastAsia="Songti TC" w:hAnsi="Songti TC" w:cs="Times New Roman"/>
          <w:sz w:val="24"/>
          <w:szCs w:val="24"/>
        </w:rPr>
        <w:t>“人”的</w:t>
      </w:r>
      <w:r w:rsidR="00333399" w:rsidRPr="00B470FE">
        <w:rPr>
          <w:rFonts w:ascii="Songti TC" w:eastAsia="Songti TC" w:hAnsi="Songti TC" w:cs="Times New Roman"/>
          <w:sz w:val="24"/>
          <w:szCs w:val="24"/>
        </w:rPr>
        <w:t>概念的</w:t>
      </w:r>
      <w:r w:rsidRPr="00B470FE">
        <w:rPr>
          <w:rFonts w:ascii="Songti TC" w:eastAsia="Songti TC" w:hAnsi="Songti TC" w:cs="Times New Roman"/>
          <w:sz w:val="24"/>
          <w:szCs w:val="24"/>
        </w:rPr>
        <w:t>伦理性定义。儒家学说常被西方及中国当代学者视为中国版的人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本</w:t>
      </w:r>
      <w:r w:rsidRPr="00B470FE">
        <w:rPr>
          <w:rFonts w:ascii="Songti TC" w:eastAsia="Songti TC" w:hAnsi="Songti TC" w:cs="Times New Roman"/>
          <w:sz w:val="24"/>
          <w:szCs w:val="24"/>
        </w:rPr>
        <w:t>主义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，虽然不错，</w:t>
      </w:r>
      <w:r w:rsidRPr="00B470FE">
        <w:rPr>
          <w:rFonts w:ascii="Songti TC" w:eastAsia="Songti TC" w:hAnsi="Songti TC" w:cs="Times New Roman"/>
          <w:sz w:val="24"/>
          <w:szCs w:val="24"/>
        </w:rPr>
        <w:t>但更准确的理解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似乎</w:t>
      </w:r>
      <w:r w:rsidRPr="00B470FE">
        <w:rPr>
          <w:rFonts w:ascii="Songti TC" w:eastAsia="Songti TC" w:hAnsi="Songti TC" w:cs="Times New Roman"/>
          <w:sz w:val="24"/>
          <w:szCs w:val="24"/>
        </w:rPr>
        <w:t>应该是关系主义，因为孔子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以及儒家从未主张过基于平等个体的自然权利或</w:t>
      </w:r>
      <w:r w:rsidRPr="00B470FE">
        <w:rPr>
          <w:rFonts w:ascii="Songti TC" w:eastAsia="Songti TC" w:hAnsi="Songti TC" w:cs="Times New Roman"/>
          <w:sz w:val="24"/>
          <w:szCs w:val="24"/>
        </w:rPr>
        <w:t>个人权利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，而更多研究了关系</w:t>
      </w:r>
      <w:r w:rsidRPr="00B470FE">
        <w:rPr>
          <w:rFonts w:ascii="Songti TC" w:eastAsia="Songti TC" w:hAnsi="Songti TC" w:cs="Times New Roman"/>
          <w:sz w:val="24"/>
          <w:szCs w:val="24"/>
        </w:rPr>
        <w:t>。相比于康德，孔子与柏拉图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或</w:t>
      </w:r>
      <w:r w:rsidRPr="00B470FE">
        <w:rPr>
          <w:rFonts w:ascii="Songti TC" w:eastAsia="Songti TC" w:hAnsi="Songti TC" w:cs="Times New Roman"/>
          <w:sz w:val="24"/>
          <w:szCs w:val="24"/>
        </w:rPr>
        <w:t>会有更多的共同语言。</w:t>
      </w:r>
    </w:p>
    <w:p w14:paraId="1984B402" w14:textId="77777777" w:rsidR="006B6DED" w:rsidRPr="00B470FE" w:rsidRDefault="006B6DED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“仁”为“人”赋予了道德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性</w:t>
      </w:r>
      <w:r w:rsidRPr="00B470FE">
        <w:rPr>
          <w:rFonts w:ascii="Songti TC" w:eastAsia="Songti TC" w:hAnsi="Songti TC" w:cs="Times New Roman"/>
          <w:sz w:val="24"/>
          <w:szCs w:val="24"/>
        </w:rPr>
        <w:t>的定义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，</w:t>
      </w:r>
      <w:r w:rsidRPr="00B470FE">
        <w:rPr>
          <w:rFonts w:ascii="Songti TC" w:eastAsia="Songti TC" w:hAnsi="Songti TC" w:cs="Times New Roman"/>
          <w:sz w:val="24"/>
          <w:szCs w:val="24"/>
        </w:rPr>
        <w:t>这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个理解</w:t>
      </w:r>
      <w:r w:rsidRPr="00B470FE">
        <w:rPr>
          <w:rFonts w:ascii="Songti TC" w:eastAsia="Songti TC" w:hAnsi="Songti TC" w:cs="Times New Roman"/>
          <w:sz w:val="24"/>
          <w:szCs w:val="24"/>
        </w:rPr>
        <w:t>意味着自然性或生物性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的</w:t>
      </w:r>
      <w:r w:rsidRPr="00B470FE">
        <w:rPr>
          <w:rFonts w:ascii="Songti TC" w:eastAsia="Songti TC" w:hAnsi="Songti TC" w:cs="Times New Roman"/>
          <w:sz w:val="24"/>
          <w:szCs w:val="24"/>
        </w:rPr>
        <w:t>生命不足以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成为人性</w:t>
      </w:r>
      <w:r w:rsidRPr="00B470FE">
        <w:rPr>
          <w:rFonts w:ascii="Songti TC" w:eastAsia="Songti TC" w:hAnsi="Songti TC" w:cs="Times New Roman"/>
          <w:sz w:val="24"/>
          <w:szCs w:val="24"/>
        </w:rPr>
        <w:t>的充分证明。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就是说，</w:t>
      </w:r>
      <w:r w:rsidRPr="00B470FE">
        <w:rPr>
          <w:rFonts w:ascii="Songti TC" w:eastAsia="Songti TC" w:hAnsi="Songti TC" w:cs="Times New Roman"/>
          <w:sz w:val="24"/>
          <w:szCs w:val="24"/>
        </w:rPr>
        <w:t>一个人被承认是“人”，仅当他成为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一个高于自然存在的道德人，否则就只是与</w:t>
      </w:r>
      <w:r w:rsidRPr="00B470FE">
        <w:rPr>
          <w:rFonts w:ascii="Songti TC" w:eastAsia="Songti TC" w:hAnsi="Songti TC" w:cs="Times New Roman"/>
          <w:sz w:val="24"/>
          <w:szCs w:val="24"/>
        </w:rPr>
        <w:t>自然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存在</w:t>
      </w:r>
      <w:r w:rsidRPr="00B470FE">
        <w:rPr>
          <w:rFonts w:ascii="Songti TC" w:eastAsia="Songti TC" w:hAnsi="Songti TC" w:cs="Times New Roman"/>
          <w:sz w:val="24"/>
          <w:szCs w:val="24"/>
        </w:rPr>
        <w:t>无差别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的一个</w:t>
      </w:r>
      <w:r w:rsidRPr="00B470FE">
        <w:rPr>
          <w:rFonts w:ascii="Songti TC" w:eastAsia="Songti TC" w:hAnsi="Songti TC" w:cs="Times New Roman"/>
          <w:sz w:val="24"/>
          <w:szCs w:val="24"/>
        </w:rPr>
        <w:t>存在者。因此，“人”的概念不是一个</w:t>
      </w:r>
      <w:r w:rsidR="00B64443" w:rsidRPr="00B470FE">
        <w:rPr>
          <w:rFonts w:ascii="Songti TC" w:eastAsia="Songti TC" w:hAnsi="Songti TC" w:cs="Times New Roman"/>
          <w:b/>
          <w:bCs/>
          <w:sz w:val="24"/>
          <w:szCs w:val="24"/>
        </w:rPr>
        <w:t>存在之为存在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（</w:t>
      </w:r>
      <w:r w:rsidR="00B64443" w:rsidRPr="001E1034">
        <w:rPr>
          <w:rFonts w:ascii="Times New Roman" w:eastAsia="Songti TC" w:hAnsi="Times New Roman" w:cs="Times New Roman"/>
          <w:sz w:val="24"/>
          <w:szCs w:val="24"/>
        </w:rPr>
        <w:t>being as such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）的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完成式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的封闭概念，而是一个“变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中而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在”（</w:t>
      </w:r>
      <w:r w:rsidR="00B64443" w:rsidRPr="001E1034">
        <w:rPr>
          <w:rFonts w:ascii="Times New Roman" w:eastAsia="Songti TC" w:hAnsi="Times New Roman" w:cs="Times New Roman"/>
          <w:sz w:val="24"/>
          <w:szCs w:val="24"/>
        </w:rPr>
        <w:t>becoming-to-be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）的</w:t>
      </w:r>
      <w:r w:rsidR="002142A8" w:rsidRPr="00B470FE">
        <w:rPr>
          <w:rFonts w:ascii="Songti TC" w:eastAsia="Songti TC" w:hAnsi="Songti TC" w:cs="Times New Roman"/>
          <w:sz w:val="24"/>
          <w:szCs w:val="24"/>
        </w:rPr>
        <w:t>开放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概念。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一个人的“人的概念”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是要用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一生行为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来回答的问题，而不是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关于一个自然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生命问题的先验答案。简言之，一个人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所以是人，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取决于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其</w:t>
      </w:r>
      <w:r w:rsidR="00B64443" w:rsidRPr="00B470FE">
        <w:rPr>
          <w:rFonts w:ascii="Songti TC" w:eastAsia="Songti TC" w:hAnsi="Songti TC" w:cs="Times New Roman"/>
          <w:b/>
          <w:bCs/>
          <w:sz w:val="24"/>
          <w:szCs w:val="24"/>
        </w:rPr>
        <w:t>所为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，而不是自然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之</w:t>
      </w:r>
      <w:r w:rsidR="00B64443" w:rsidRPr="00B470FE">
        <w:rPr>
          <w:rFonts w:ascii="Songti TC" w:eastAsia="Songti TC" w:hAnsi="Songti TC" w:cs="Times New Roman"/>
          <w:b/>
          <w:sz w:val="24"/>
          <w:szCs w:val="24"/>
        </w:rPr>
        <w:t>所</w:t>
      </w:r>
      <w:r w:rsidR="00B64443" w:rsidRPr="00B470FE">
        <w:rPr>
          <w:rFonts w:ascii="Songti TC" w:eastAsia="Songti TC" w:hAnsi="Songti TC" w:cs="Times New Roman"/>
          <w:b/>
          <w:bCs/>
          <w:sz w:val="24"/>
          <w:szCs w:val="24"/>
        </w:rPr>
        <w:t>是</w:t>
      </w:r>
      <w:r w:rsidR="00B64443" w:rsidRPr="00B470FE">
        <w:rPr>
          <w:rFonts w:ascii="Songti TC" w:eastAsia="Songti TC" w:hAnsi="Songti TC" w:cs="Times New Roman"/>
          <w:sz w:val="24"/>
          <w:szCs w:val="24"/>
        </w:rPr>
        <w:t>。</w:t>
      </w:r>
    </w:p>
    <w:p w14:paraId="12FA7C2F" w14:textId="77777777" w:rsidR="00B64443" w:rsidRPr="00B470FE" w:rsidRDefault="00B64443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lastRenderedPageBreak/>
        <w:t>关系主义</w:t>
      </w:r>
      <w:r w:rsidR="00995D9D" w:rsidRPr="00B470FE">
        <w:rPr>
          <w:rFonts w:ascii="Songti TC" w:eastAsia="Songti TC" w:hAnsi="Songti TC" w:cs="Times New Roman"/>
          <w:sz w:val="24"/>
          <w:szCs w:val="24"/>
        </w:rPr>
        <w:t>试图</w:t>
      </w:r>
      <w:r w:rsidR="00D45D66" w:rsidRPr="00B470FE">
        <w:rPr>
          <w:rFonts w:ascii="Songti TC" w:eastAsia="Songti TC" w:hAnsi="Songti TC" w:cs="Times New Roman"/>
          <w:sz w:val="24"/>
          <w:szCs w:val="24"/>
        </w:rPr>
        <w:t>论证</w:t>
      </w:r>
      <w:r w:rsidR="00995D9D" w:rsidRPr="00B470FE">
        <w:rPr>
          <w:rFonts w:ascii="Songti TC" w:eastAsia="Songti TC" w:hAnsi="Songti TC" w:cs="Times New Roman"/>
          <w:sz w:val="24"/>
          <w:szCs w:val="24"/>
        </w:rPr>
        <w:t>，</w:t>
      </w:r>
      <w:r w:rsidRPr="00B470FE">
        <w:rPr>
          <w:rFonts w:ascii="Songti TC" w:eastAsia="Songti TC" w:hAnsi="Songti TC" w:cs="Times New Roman"/>
          <w:sz w:val="24"/>
          <w:szCs w:val="24"/>
        </w:rPr>
        <w:t>没有人能够独立于他人而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存在</w:t>
      </w:r>
      <w:r w:rsidRPr="00B470FE">
        <w:rPr>
          <w:rFonts w:ascii="Songti TC" w:eastAsia="Songti TC" w:hAnsi="Songti TC" w:cs="Times New Roman"/>
          <w:sz w:val="24"/>
          <w:szCs w:val="24"/>
        </w:rPr>
        <w:t>。因此，说一个人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“本身</w:t>
      </w:r>
      <w:r w:rsidRPr="00B470FE">
        <w:rPr>
          <w:rFonts w:ascii="Songti TC" w:eastAsia="Songti TC" w:hAnsi="Songti TC" w:cs="Times New Roman"/>
          <w:b/>
          <w:bCs/>
          <w:sz w:val="24"/>
          <w:szCs w:val="24"/>
        </w:rPr>
        <w:t>是</w:t>
      </w:r>
      <w:r w:rsidR="00D14B27" w:rsidRPr="00B470FE">
        <w:rPr>
          <w:rFonts w:ascii="Songti TC" w:eastAsia="Songti TC" w:hAnsi="Songti TC" w:cs="Times New Roman"/>
          <w:b/>
          <w:bCs/>
          <w:sz w:val="24"/>
          <w:szCs w:val="24"/>
        </w:rPr>
        <w:t>什么”</w:t>
      </w:r>
      <w:r w:rsidRPr="00B470FE">
        <w:rPr>
          <w:rFonts w:ascii="Songti TC" w:eastAsia="Songti TC" w:hAnsi="Songti TC" w:cs="Times New Roman"/>
          <w:sz w:val="24"/>
          <w:szCs w:val="24"/>
        </w:rPr>
        <w:t>是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一个</w:t>
      </w:r>
      <w:r w:rsidRPr="00B470FE">
        <w:rPr>
          <w:rFonts w:ascii="Songti TC" w:eastAsia="Songti TC" w:hAnsi="Songti TC" w:cs="Times New Roman"/>
          <w:sz w:val="24"/>
          <w:szCs w:val="24"/>
        </w:rPr>
        <w:t>假命题。每个人都在与他者的关系中</w:t>
      </w:r>
      <w:r w:rsidR="00D14B27" w:rsidRPr="00B470FE">
        <w:rPr>
          <w:rFonts w:ascii="Songti TC" w:eastAsia="Songti TC" w:hAnsi="Songti TC" w:cs="Times New Roman"/>
          <w:b/>
          <w:sz w:val="24"/>
          <w:szCs w:val="24"/>
        </w:rPr>
        <w:t>成为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一个人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，而不是在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预定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概念中</w:t>
      </w:r>
      <w:r w:rsidR="00D14B27" w:rsidRPr="00B470FE">
        <w:rPr>
          <w:rFonts w:ascii="Songti TC" w:eastAsia="Songti TC" w:hAnsi="Songti TC" w:cs="Times New Roman"/>
          <w:b/>
          <w:sz w:val="24"/>
          <w:szCs w:val="24"/>
        </w:rPr>
        <w:t>是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一个人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。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每个人都</w:t>
      </w:r>
      <w:r w:rsidR="00D45D66" w:rsidRPr="00B470FE">
        <w:rPr>
          <w:rFonts w:ascii="Songti TC" w:eastAsia="Songti TC" w:hAnsi="Songti TC" w:cs="Times New Roman"/>
          <w:sz w:val="24"/>
          <w:szCs w:val="24"/>
        </w:rPr>
        <w:t>是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在与他者的关系中被定义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的，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因此，一个人只有在与他人的关系中才能被确证为是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一个满足了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人性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概念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的人。如果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人类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的关系充满</w:t>
      </w:r>
      <w:r w:rsidR="00C100FC" w:rsidRPr="00B470FE">
        <w:rPr>
          <w:rFonts w:ascii="Songti TC" w:eastAsia="Songti TC" w:hAnsi="Songti TC" w:cs="Times New Roman"/>
          <w:sz w:val="24"/>
          <w:szCs w:val="24"/>
        </w:rPr>
        <w:t>战争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与冲突，人类文明甚至人类种群</w:t>
      </w:r>
      <w:r w:rsidR="00CF1CE5" w:rsidRPr="00B470FE">
        <w:rPr>
          <w:rFonts w:ascii="Songti TC" w:eastAsia="Songti TC" w:hAnsi="Songti TC" w:cs="Times New Roman"/>
          <w:sz w:val="24"/>
          <w:szCs w:val="24"/>
        </w:rPr>
        <w:t>就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有可能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走向灭亡。所以，人类和文明得以存续的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唯一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合理选项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就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是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开发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并维持良好的人与人关系，</w:t>
      </w:r>
      <w:r w:rsidR="00D14B27" w:rsidRPr="00B470FE">
        <w:rPr>
          <w:rFonts w:ascii="Songti TC" w:eastAsia="Songti TC" w:hAnsi="Songti TC" w:cs="Times New Roman"/>
          <w:sz w:val="24"/>
          <w:szCs w:val="24"/>
        </w:rPr>
        <w:t>并且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在总体上惠及所有人。这似乎是最有</w:t>
      </w:r>
      <w:r w:rsidR="00277123" w:rsidRPr="00B470FE">
        <w:rPr>
          <w:rFonts w:ascii="Songti TC" w:eastAsia="Songti TC" w:hAnsi="Songti TC" w:cs="Times New Roman"/>
          <w:sz w:val="24"/>
          <w:szCs w:val="24"/>
        </w:rPr>
        <w:t>理由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获得普遍认同的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可能世界</w:t>
      </w:r>
      <w:r w:rsidR="00F356DB" w:rsidRPr="00B470FE">
        <w:rPr>
          <w:rFonts w:ascii="Songti TC" w:eastAsia="Songti TC" w:hAnsi="Songti TC" w:cs="Times New Roman"/>
          <w:sz w:val="24"/>
          <w:szCs w:val="24"/>
        </w:rPr>
        <w:t>了。</w:t>
      </w:r>
    </w:p>
    <w:p w14:paraId="2E7AC72E" w14:textId="77777777" w:rsidR="00F356DB" w:rsidRPr="00B470FE" w:rsidRDefault="00F356DB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孔子寄希望于以道德为根基的文明，</w:t>
      </w:r>
      <w:r w:rsidR="00277123" w:rsidRPr="00B470FE">
        <w:rPr>
          <w:rFonts w:ascii="Songti TC" w:eastAsia="Songti TC" w:hAnsi="Songti TC" w:cs="Times New Roman"/>
          <w:sz w:val="24"/>
          <w:szCs w:val="24"/>
        </w:rPr>
        <w:t>甚至认为</w:t>
      </w:r>
      <w:r w:rsidRPr="00B470FE">
        <w:rPr>
          <w:rFonts w:ascii="Songti TC" w:eastAsia="Songti TC" w:hAnsi="Songti TC" w:cs="Times New Roman"/>
          <w:sz w:val="24"/>
          <w:szCs w:val="24"/>
        </w:rPr>
        <w:t>政治秩序</w:t>
      </w:r>
      <w:r w:rsidR="00277123" w:rsidRPr="00B470FE">
        <w:rPr>
          <w:rFonts w:ascii="Songti TC" w:eastAsia="Songti TC" w:hAnsi="Songti TC" w:cs="Times New Roman"/>
          <w:sz w:val="24"/>
          <w:szCs w:val="24"/>
        </w:rPr>
        <w:t>也</w:t>
      </w:r>
      <w:r w:rsidRPr="00B470FE">
        <w:rPr>
          <w:rFonts w:ascii="Songti TC" w:eastAsia="Songti TC" w:hAnsi="Songti TC" w:cs="Times New Roman"/>
          <w:sz w:val="24"/>
          <w:szCs w:val="24"/>
        </w:rPr>
        <w:t>要以道德为前提。正如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孔子论证的，如果人心不仁，我们就根本无法信任他人，而相关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的一切事物，包括法律、承诺和政府，都将不再可信。有趣的是，一位法家的政治哲学家，韩非（前280年-前233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年），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提出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了一个与儒学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世界观完全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相反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的理论，十分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知名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但</w:t>
      </w:r>
      <w:r w:rsidR="003400CF" w:rsidRPr="00B470FE">
        <w:rPr>
          <w:rFonts w:ascii="Songti TC" w:eastAsia="Songti TC" w:hAnsi="Songti TC" w:cs="Times New Roman"/>
          <w:sz w:val="24"/>
          <w:szCs w:val="24"/>
        </w:rPr>
        <w:t>也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广受诟病，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这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取决于你如何看它。韩非否定了道德相对于政治的优先性，他论证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说，只有两件事，赏与罚，真正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在社会中起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着决定性的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作用，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这是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因为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，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每个人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的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利益追求都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优先于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道德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追求</w:t>
      </w:r>
      <w:r w:rsidR="007020BD" w:rsidRPr="00B470FE">
        <w:rPr>
          <w:rFonts w:ascii="Songti TC" w:eastAsia="Songti TC" w:hAnsi="Songti TC" w:cs="Times New Roman"/>
          <w:sz w:val="24"/>
          <w:szCs w:val="24"/>
        </w:rPr>
        <w:t>。</w:t>
      </w:r>
      <w:r w:rsidR="00A452C2" w:rsidRPr="00B470FE">
        <w:rPr>
          <w:rFonts w:ascii="Songti TC" w:eastAsia="Songti TC" w:hAnsi="Songti TC" w:cs="Times New Roman"/>
          <w:sz w:val="24"/>
          <w:szCs w:val="24"/>
        </w:rPr>
        <w:t>这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听起来更像</w:t>
      </w:r>
      <w:r w:rsidR="00A452C2" w:rsidRPr="00B470FE">
        <w:rPr>
          <w:rFonts w:ascii="Songti TC" w:eastAsia="Songti TC" w:hAnsi="Songti TC" w:cs="Times New Roman"/>
          <w:sz w:val="24"/>
          <w:szCs w:val="24"/>
        </w:rPr>
        <w:t>是一个现代</w:t>
      </w:r>
      <w:r w:rsidR="00734D49" w:rsidRPr="00B470FE">
        <w:rPr>
          <w:rFonts w:ascii="Songti TC" w:eastAsia="Songti TC" w:hAnsi="Songti TC" w:cs="Times New Roman"/>
          <w:sz w:val="24"/>
          <w:szCs w:val="24"/>
        </w:rPr>
        <w:t>观点。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他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讲述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了一个故事来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证明儒家的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迂腐：孔子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的国家，鲁国，曾有一个士兵，三次在战场上</w:t>
      </w:r>
      <w:r w:rsidR="005E78B9" w:rsidRPr="00B470FE">
        <w:rPr>
          <w:rFonts w:ascii="Songti TC" w:eastAsia="Songti TC" w:hAnsi="Songti TC" w:cs="Times New Roman"/>
          <w:sz w:val="24"/>
          <w:szCs w:val="24"/>
        </w:rPr>
        <w:t>都当了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逃兵。孔子问他为何如此怯懦，他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却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用孔子的理论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来辩护，所以不去舍命战斗，是因为家中还有老父亲需要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照顾。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结果，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孔子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以孝顺美德的理由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推举他到更高的官位任职。这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终于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引发了灾难性的后果，鲁国的士兵纷纷效仿这位逃兵</w:t>
      </w:r>
      <w:r w:rsidR="000A0911" w:rsidRPr="00B470FE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6"/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。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后来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鲁国就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亡国了。韩非理论在某种程度上可</w:t>
      </w:r>
      <w:r w:rsidR="000A0911" w:rsidRPr="00B470FE">
        <w:rPr>
          <w:rFonts w:ascii="Songti TC" w:eastAsia="Songti TC" w:hAnsi="Songti TC" w:cs="Times New Roman"/>
          <w:sz w:val="24"/>
          <w:szCs w:val="24"/>
        </w:rPr>
        <w:t>理解</w:t>
      </w:r>
      <w:r w:rsidR="00BC0BDC" w:rsidRPr="00B470FE">
        <w:rPr>
          <w:rFonts w:ascii="Songti TC" w:eastAsia="Songti TC" w:hAnsi="Songti TC" w:cs="Times New Roman"/>
          <w:sz w:val="24"/>
          <w:szCs w:val="24"/>
        </w:rPr>
        <w:t>为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中国版的霍布斯主义。</w:t>
      </w:r>
    </w:p>
    <w:p w14:paraId="3737FAB7" w14:textId="77777777" w:rsidR="00C058F6" w:rsidRPr="00B470FE" w:rsidRDefault="00BC0BDC" w:rsidP="00B470FE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B470FE">
        <w:rPr>
          <w:rFonts w:ascii="Songti TC" w:eastAsia="Songti TC" w:hAnsi="Songti TC" w:cs="Times New Roman"/>
          <w:sz w:val="24"/>
          <w:szCs w:val="24"/>
        </w:rPr>
        <w:t>到底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哪一种理论更</w:t>
      </w:r>
      <w:r w:rsidRPr="00B470FE">
        <w:rPr>
          <w:rFonts w:ascii="Songti TC" w:eastAsia="Songti TC" w:hAnsi="Songti TC" w:cs="Times New Roman"/>
          <w:sz w:val="24"/>
          <w:szCs w:val="24"/>
        </w:rPr>
        <w:t>好呢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？</w:t>
      </w:r>
      <w:r w:rsidRPr="00B470FE">
        <w:rPr>
          <w:rFonts w:ascii="Songti TC" w:eastAsia="Songti TC" w:hAnsi="Songti TC" w:cs="Times New Roman"/>
          <w:sz w:val="24"/>
          <w:szCs w:val="24"/>
        </w:rPr>
        <w:t>很难一概而论，而要取决于</w:t>
      </w:r>
      <w:r w:rsidR="001863EA" w:rsidRPr="00B470FE">
        <w:rPr>
          <w:rFonts w:ascii="Songti TC" w:eastAsia="Songti TC" w:hAnsi="Songti TC" w:cs="Times New Roman"/>
          <w:sz w:val="24"/>
          <w:szCs w:val="24"/>
        </w:rPr>
        <w:t>针对什么</w:t>
      </w:r>
      <w:r w:rsidRPr="00B470FE">
        <w:rPr>
          <w:rFonts w:ascii="Songti TC" w:eastAsia="Songti TC" w:hAnsi="Songti TC" w:cs="Times New Roman"/>
          <w:sz w:val="24"/>
          <w:szCs w:val="24"/>
        </w:rPr>
        <w:t>问题和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条件。韩非</w:t>
      </w:r>
      <w:r w:rsidRPr="00B470FE">
        <w:rPr>
          <w:rFonts w:ascii="Songti TC" w:eastAsia="Songti TC" w:hAnsi="Songti TC" w:cs="Times New Roman"/>
          <w:sz w:val="24"/>
          <w:szCs w:val="24"/>
        </w:rPr>
        <w:t>讨论的是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竞争</w:t>
      </w:r>
      <w:r w:rsidRPr="00B470FE">
        <w:rPr>
          <w:rFonts w:ascii="Songti TC" w:eastAsia="Songti TC" w:hAnsi="Songti TC" w:cs="Times New Roman"/>
          <w:sz w:val="24"/>
          <w:szCs w:val="24"/>
        </w:rPr>
        <w:t>性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（</w:t>
      </w:r>
      <w:r w:rsidRPr="00B470FE">
        <w:rPr>
          <w:rFonts w:ascii="Songti TC" w:eastAsia="Songti TC" w:hAnsi="Songti TC" w:cs="Times New Roman"/>
          <w:sz w:val="24"/>
          <w:szCs w:val="24"/>
        </w:rPr>
        <w:t>或战争）的博弈，而孔子则关注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合作（</w:t>
      </w:r>
      <w:r w:rsidRPr="00B470FE">
        <w:rPr>
          <w:rFonts w:ascii="Songti TC" w:eastAsia="Songti TC" w:hAnsi="Songti TC" w:cs="Times New Roman"/>
          <w:sz w:val="24"/>
          <w:szCs w:val="24"/>
        </w:rPr>
        <w:t>或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和平）的秩序。</w:t>
      </w:r>
      <w:r w:rsidR="001863EA" w:rsidRPr="00B470FE">
        <w:rPr>
          <w:rFonts w:ascii="Songti TC" w:eastAsia="Songti TC" w:hAnsi="Songti TC" w:cs="Times New Roman"/>
          <w:sz w:val="24"/>
          <w:szCs w:val="24"/>
        </w:rPr>
        <w:lastRenderedPageBreak/>
        <w:t>一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国之死是</w:t>
      </w:r>
      <w:r w:rsidR="00575312" w:rsidRPr="00B470FE">
        <w:rPr>
          <w:rFonts w:ascii="Songti TC" w:eastAsia="Songti TC" w:hAnsi="Songti TC" w:cs="Times New Roman"/>
          <w:sz w:val="24"/>
          <w:szCs w:val="24"/>
        </w:rPr>
        <w:t>一</w:t>
      </w:r>
      <w:r w:rsidR="001863EA" w:rsidRPr="00B470FE">
        <w:rPr>
          <w:rFonts w:ascii="Songti TC" w:eastAsia="Songti TC" w:hAnsi="Songti TC" w:cs="Times New Roman"/>
          <w:sz w:val="24"/>
          <w:szCs w:val="24"/>
        </w:rPr>
        <w:t>个问题</w:t>
      </w:r>
      <w:r w:rsidR="0095387C" w:rsidRPr="00B470FE">
        <w:rPr>
          <w:rFonts w:ascii="Songti TC" w:eastAsia="Songti TC" w:hAnsi="Songti TC" w:cs="Times New Roman"/>
          <w:sz w:val="24"/>
          <w:szCs w:val="24"/>
        </w:rPr>
        <w:t>，文明之死</w:t>
      </w:r>
      <w:r w:rsidR="00575312" w:rsidRPr="00B470FE">
        <w:rPr>
          <w:rFonts w:ascii="Songti TC" w:eastAsia="Songti TC" w:hAnsi="Songti TC" w:cs="Times New Roman"/>
          <w:sz w:val="24"/>
          <w:szCs w:val="24"/>
        </w:rPr>
        <w:t>是另一</w:t>
      </w:r>
      <w:r w:rsidR="001863EA" w:rsidRPr="00B470FE">
        <w:rPr>
          <w:rFonts w:ascii="Songti TC" w:eastAsia="Songti TC" w:hAnsi="Songti TC" w:cs="Times New Roman"/>
          <w:sz w:val="24"/>
          <w:szCs w:val="24"/>
        </w:rPr>
        <w:t>个问题。</w:t>
      </w:r>
    </w:p>
    <w:sectPr w:rsidR="00C058F6" w:rsidRPr="00B470FE" w:rsidSect="00CB5A4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E45D" w14:textId="77777777" w:rsidR="00517235" w:rsidRDefault="00517235" w:rsidP="006C2E2A">
      <w:r>
        <w:separator/>
      </w:r>
    </w:p>
  </w:endnote>
  <w:endnote w:type="continuationSeparator" w:id="0">
    <w:p w14:paraId="76164ADA" w14:textId="77777777" w:rsidR="00517235" w:rsidRDefault="00517235" w:rsidP="006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6D18" w14:textId="77777777" w:rsidR="00517235" w:rsidRDefault="00517235" w:rsidP="006C2E2A">
      <w:r>
        <w:separator/>
      </w:r>
    </w:p>
  </w:footnote>
  <w:footnote w:type="continuationSeparator" w:id="0">
    <w:p w14:paraId="1423419D" w14:textId="77777777" w:rsidR="00517235" w:rsidRDefault="00517235" w:rsidP="006C2E2A">
      <w:r>
        <w:continuationSeparator/>
      </w:r>
    </w:p>
  </w:footnote>
  <w:footnote w:id="1">
    <w:p w14:paraId="23C0EDD7" w14:textId="77777777" w:rsidR="00390747" w:rsidRPr="007E7BCA" w:rsidRDefault="00390747" w:rsidP="00390747">
      <w:pPr>
        <w:pStyle w:val="Funotentext"/>
        <w:rPr>
          <w:rFonts w:ascii="Songti TC" w:eastAsia="Songti TC" w:hAnsi="Songti TC"/>
        </w:rPr>
      </w:pPr>
      <w:r w:rsidRPr="007E7BCA">
        <w:rPr>
          <w:rStyle w:val="Funotenzeichen"/>
          <w:rFonts w:ascii="Songti TC" w:eastAsia="Songti TC" w:hAnsi="Songti TC"/>
        </w:rPr>
        <w:footnoteRef/>
      </w:r>
      <w:r w:rsidRPr="007E7BCA">
        <w:rPr>
          <w:rFonts w:ascii="Songti TC" w:eastAsia="Songti TC" w:hAnsi="Songti TC"/>
        </w:rPr>
        <w:t xml:space="preserve"> </w:t>
      </w:r>
      <w:r w:rsidRPr="007E7BCA">
        <w:rPr>
          <w:rFonts w:ascii="Songti TC" w:eastAsia="Songti TC" w:hAnsi="Songti TC" w:hint="eastAsia"/>
        </w:rPr>
        <w:t>《左传·僖公33年》。</w:t>
      </w:r>
    </w:p>
  </w:footnote>
  <w:footnote w:id="2">
    <w:p w14:paraId="3B7128EC" w14:textId="77777777" w:rsidR="00390747" w:rsidRPr="007E7BCA" w:rsidRDefault="00390747" w:rsidP="00390747">
      <w:pPr>
        <w:pStyle w:val="Funotentext"/>
        <w:rPr>
          <w:rFonts w:ascii="Songti TC" w:eastAsia="Songti TC" w:hAnsi="Songti TC"/>
        </w:rPr>
      </w:pPr>
      <w:r w:rsidRPr="007E7BCA">
        <w:rPr>
          <w:rStyle w:val="Funotenzeichen"/>
          <w:rFonts w:ascii="Songti TC" w:eastAsia="Songti TC" w:hAnsi="Songti TC"/>
        </w:rPr>
        <w:footnoteRef/>
      </w:r>
      <w:r w:rsidRPr="007E7BCA">
        <w:rPr>
          <w:rFonts w:ascii="Songti TC" w:eastAsia="Songti TC" w:hAnsi="Songti TC"/>
        </w:rPr>
        <w:t xml:space="preserve"> </w:t>
      </w:r>
      <w:r w:rsidRPr="007E7BCA">
        <w:rPr>
          <w:rFonts w:ascii="Songti TC" w:eastAsia="Songti TC" w:hAnsi="Songti TC" w:hint="eastAsia"/>
        </w:rPr>
        <w:t>《左传·襄公7年》。</w:t>
      </w:r>
    </w:p>
  </w:footnote>
  <w:footnote w:id="3">
    <w:p w14:paraId="7F3BBB13" w14:textId="77777777" w:rsidR="00390747" w:rsidRPr="007E7BCA" w:rsidRDefault="00390747" w:rsidP="00390747">
      <w:pPr>
        <w:pStyle w:val="Funotentext"/>
        <w:rPr>
          <w:rFonts w:ascii="Songti TC" w:eastAsia="Songti TC" w:hAnsi="Songti TC"/>
        </w:rPr>
      </w:pPr>
      <w:r w:rsidRPr="007E7BCA">
        <w:rPr>
          <w:rStyle w:val="Funotenzeichen"/>
          <w:rFonts w:ascii="Songti TC" w:eastAsia="Songti TC" w:hAnsi="Songti TC"/>
        </w:rPr>
        <w:footnoteRef/>
      </w:r>
      <w:r w:rsidRPr="007E7BCA">
        <w:rPr>
          <w:rFonts w:ascii="Songti TC" w:eastAsia="Songti TC" w:hAnsi="Songti TC"/>
        </w:rPr>
        <w:t xml:space="preserve"> </w:t>
      </w:r>
      <w:r w:rsidRPr="007E7BCA">
        <w:rPr>
          <w:rFonts w:ascii="Songti TC" w:eastAsia="Songti TC" w:hAnsi="Songti TC" w:hint="eastAsia"/>
        </w:rPr>
        <w:t>《左传·昭公20年》。</w:t>
      </w:r>
    </w:p>
  </w:footnote>
  <w:footnote w:id="4">
    <w:p w14:paraId="3184C3D6" w14:textId="77777777" w:rsidR="00390747" w:rsidRDefault="00390747" w:rsidP="00390747">
      <w:pPr>
        <w:pStyle w:val="Funotentext"/>
      </w:pPr>
      <w:r w:rsidRPr="007E7BCA">
        <w:rPr>
          <w:rStyle w:val="Funotenzeichen"/>
          <w:rFonts w:ascii="Songti TC" w:eastAsia="Songti TC" w:hAnsi="Songti TC"/>
        </w:rPr>
        <w:footnoteRef/>
      </w:r>
      <w:r w:rsidRPr="007E7BCA">
        <w:rPr>
          <w:rFonts w:ascii="Songti TC" w:eastAsia="Songti TC" w:hAnsi="Songti TC"/>
        </w:rPr>
        <w:t xml:space="preserve"> </w:t>
      </w:r>
      <w:r w:rsidRPr="007E7BCA">
        <w:rPr>
          <w:rFonts w:ascii="Songti TC" w:eastAsia="Songti TC" w:hAnsi="Songti TC" w:hint="eastAsia"/>
        </w:rPr>
        <w:t>《国语·晋语》。</w:t>
      </w:r>
    </w:p>
  </w:footnote>
  <w:footnote w:id="5">
    <w:p w14:paraId="4D59AD00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《论语·雍也》。</w:t>
      </w:r>
    </w:p>
  </w:footnote>
  <w:footnote w:id="6">
    <w:p w14:paraId="044EC50D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《论语·颜渊》。</w:t>
      </w:r>
    </w:p>
  </w:footnote>
  <w:footnote w:id="7">
    <w:p w14:paraId="5CEA345A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《论语·学而》。</w:t>
      </w:r>
    </w:p>
  </w:footnote>
  <w:footnote w:id="8">
    <w:p w14:paraId="1FE7361E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《论语·颜渊》。</w:t>
      </w:r>
    </w:p>
  </w:footnote>
  <w:footnote w:id="9">
    <w:p w14:paraId="0413D313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《论语·里人》。</w:t>
      </w:r>
    </w:p>
  </w:footnote>
  <w:footnote w:id="10">
    <w:p w14:paraId="07953FE5" w14:textId="77777777" w:rsidR="00840931" w:rsidRPr="00B470FE" w:rsidRDefault="00840931" w:rsidP="0084093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《论语·八佾》。</w:t>
      </w:r>
    </w:p>
  </w:footnote>
  <w:footnote w:id="11">
    <w:p w14:paraId="03C0EC51" w14:textId="77777777" w:rsidR="00FD16B0" w:rsidRPr="00B470FE" w:rsidRDefault="00FD16B0" w:rsidP="00FD16B0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子思</w:t>
      </w:r>
      <w:r w:rsidRPr="00B470FE">
        <w:rPr>
          <w:rFonts w:ascii="Songti TC" w:eastAsia="Songti TC" w:hAnsi="Songti TC" w:hint="eastAsia"/>
        </w:rPr>
        <w:t>：《中庸》。</w:t>
      </w:r>
    </w:p>
  </w:footnote>
  <w:footnote w:id="12">
    <w:p w14:paraId="1B3694C7" w14:textId="77777777" w:rsidR="00FD16B0" w:rsidRPr="00B470FE" w:rsidRDefault="00FD16B0" w:rsidP="00FD16B0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《孟子·离娄上》。</w:t>
      </w:r>
    </w:p>
  </w:footnote>
  <w:footnote w:id="13">
    <w:p w14:paraId="17F6565C" w14:textId="77777777" w:rsidR="00FD16B0" w:rsidRDefault="00FD16B0" w:rsidP="00FD16B0">
      <w:pPr>
        <w:pStyle w:val="Funotentext"/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《孟子·告子上》。</w:t>
      </w:r>
    </w:p>
  </w:footnote>
  <w:footnote w:id="14">
    <w:p w14:paraId="605BC683" w14:textId="77777777" w:rsidR="00FD16B0" w:rsidRPr="00B470FE" w:rsidRDefault="00FD16B0" w:rsidP="00FD16B0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董仲舒</w:t>
      </w:r>
      <w:r w:rsidRPr="00B470FE">
        <w:rPr>
          <w:rFonts w:ascii="Songti TC" w:eastAsia="Songti TC" w:hAnsi="Songti TC" w:hint="eastAsia"/>
        </w:rPr>
        <w:t>：《春秋繁露·仁义法》</w:t>
      </w:r>
    </w:p>
  </w:footnote>
  <w:footnote w:id="15">
    <w:p w14:paraId="3BDB672E" w14:textId="77777777" w:rsidR="00FD16B0" w:rsidRDefault="00FD16B0" w:rsidP="00FD16B0">
      <w:pPr>
        <w:pStyle w:val="Funotentext"/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同上</w:t>
      </w:r>
      <w:r w:rsidRPr="00B470FE">
        <w:rPr>
          <w:rFonts w:ascii="Songti TC" w:eastAsia="Songti TC" w:hAnsi="Songti TC" w:hint="eastAsia"/>
        </w:rPr>
        <w:t>。</w:t>
      </w:r>
    </w:p>
  </w:footnote>
  <w:footnote w:id="16">
    <w:p w14:paraId="6B123683" w14:textId="77777777" w:rsidR="000A0911" w:rsidRPr="00B470FE" w:rsidRDefault="000A0911" w:rsidP="000A0911">
      <w:pPr>
        <w:pStyle w:val="Funotentext"/>
        <w:rPr>
          <w:rFonts w:ascii="Songti TC" w:eastAsia="Songti TC" w:hAnsi="Songti TC"/>
        </w:rPr>
      </w:pPr>
      <w:r w:rsidRPr="00B470FE">
        <w:rPr>
          <w:rStyle w:val="Funotenzeichen"/>
          <w:rFonts w:ascii="Songti TC" w:eastAsia="Songti TC" w:hAnsi="Songti TC"/>
        </w:rPr>
        <w:footnoteRef/>
      </w:r>
      <w:r w:rsidRPr="00B470FE">
        <w:rPr>
          <w:rFonts w:ascii="Songti TC" w:eastAsia="Songti TC" w:hAnsi="Songti TC"/>
        </w:rPr>
        <w:t xml:space="preserve"> </w:t>
      </w:r>
      <w:r w:rsidRPr="00B470FE">
        <w:rPr>
          <w:rFonts w:ascii="Songti TC" w:eastAsia="Songti TC" w:hAnsi="Songti TC" w:hint="eastAsia"/>
        </w:rPr>
        <w:t>《韩非子·五蠹》。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CBE"/>
    <w:multiLevelType w:val="hybridMultilevel"/>
    <w:tmpl w:val="0CE0739E"/>
    <w:lvl w:ilvl="0" w:tplc="3AEA75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" w15:restartNumberingAfterBreak="0">
    <w:nsid w:val="4B5658FA"/>
    <w:multiLevelType w:val="hybridMultilevel"/>
    <w:tmpl w:val="567A2222"/>
    <w:lvl w:ilvl="0" w:tplc="C1EE4B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505D481C"/>
    <w:multiLevelType w:val="hybridMultilevel"/>
    <w:tmpl w:val="F08A94BC"/>
    <w:lvl w:ilvl="0" w:tplc="D11A5F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 w16cid:durableId="28916997">
    <w:abstractNumId w:val="0"/>
  </w:num>
  <w:num w:numId="2" w16cid:durableId="140656649">
    <w:abstractNumId w:val="1"/>
  </w:num>
  <w:num w:numId="3" w16cid:durableId="65931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D9"/>
    <w:rsid w:val="00001C33"/>
    <w:rsid w:val="000113C5"/>
    <w:rsid w:val="00020686"/>
    <w:rsid w:val="00053FC8"/>
    <w:rsid w:val="00056662"/>
    <w:rsid w:val="000637C9"/>
    <w:rsid w:val="000647E4"/>
    <w:rsid w:val="0007081C"/>
    <w:rsid w:val="000835EB"/>
    <w:rsid w:val="000A0911"/>
    <w:rsid w:val="000A4AE7"/>
    <w:rsid w:val="000B6872"/>
    <w:rsid w:val="000C06C3"/>
    <w:rsid w:val="000C4783"/>
    <w:rsid w:val="000E5946"/>
    <w:rsid w:val="00100816"/>
    <w:rsid w:val="00104F8B"/>
    <w:rsid w:val="00113C4F"/>
    <w:rsid w:val="00120F2C"/>
    <w:rsid w:val="00131F2C"/>
    <w:rsid w:val="00157276"/>
    <w:rsid w:val="0016045F"/>
    <w:rsid w:val="001863EA"/>
    <w:rsid w:val="00192A21"/>
    <w:rsid w:val="00197823"/>
    <w:rsid w:val="001C14F2"/>
    <w:rsid w:val="001C249B"/>
    <w:rsid w:val="001C2D57"/>
    <w:rsid w:val="001D2F76"/>
    <w:rsid w:val="001D3CD0"/>
    <w:rsid w:val="001E061A"/>
    <w:rsid w:val="001E1034"/>
    <w:rsid w:val="002074A0"/>
    <w:rsid w:val="002142A8"/>
    <w:rsid w:val="0023477E"/>
    <w:rsid w:val="0024058D"/>
    <w:rsid w:val="00241245"/>
    <w:rsid w:val="002460D9"/>
    <w:rsid w:val="0025436A"/>
    <w:rsid w:val="00265C2B"/>
    <w:rsid w:val="00274E60"/>
    <w:rsid w:val="002752D8"/>
    <w:rsid w:val="00277123"/>
    <w:rsid w:val="0029430C"/>
    <w:rsid w:val="00296D15"/>
    <w:rsid w:val="002B2B9F"/>
    <w:rsid w:val="002B307F"/>
    <w:rsid w:val="002C494F"/>
    <w:rsid w:val="002F3ED9"/>
    <w:rsid w:val="002F4238"/>
    <w:rsid w:val="003112AF"/>
    <w:rsid w:val="00315F86"/>
    <w:rsid w:val="00327BBE"/>
    <w:rsid w:val="00327D36"/>
    <w:rsid w:val="00333399"/>
    <w:rsid w:val="003348E9"/>
    <w:rsid w:val="003400CF"/>
    <w:rsid w:val="00342433"/>
    <w:rsid w:val="00353329"/>
    <w:rsid w:val="0036470C"/>
    <w:rsid w:val="00372639"/>
    <w:rsid w:val="003755AB"/>
    <w:rsid w:val="00386EBC"/>
    <w:rsid w:val="00390747"/>
    <w:rsid w:val="00391790"/>
    <w:rsid w:val="00391E6D"/>
    <w:rsid w:val="003933FE"/>
    <w:rsid w:val="003A0CCD"/>
    <w:rsid w:val="003B6F86"/>
    <w:rsid w:val="003B73D0"/>
    <w:rsid w:val="003C1C4A"/>
    <w:rsid w:val="003D1411"/>
    <w:rsid w:val="003E57F8"/>
    <w:rsid w:val="003E7B8F"/>
    <w:rsid w:val="003F27DA"/>
    <w:rsid w:val="00403216"/>
    <w:rsid w:val="0041057A"/>
    <w:rsid w:val="004253C9"/>
    <w:rsid w:val="00432858"/>
    <w:rsid w:val="0043696D"/>
    <w:rsid w:val="004448A6"/>
    <w:rsid w:val="004468D9"/>
    <w:rsid w:val="00461910"/>
    <w:rsid w:val="00472B2A"/>
    <w:rsid w:val="004829A5"/>
    <w:rsid w:val="00483080"/>
    <w:rsid w:val="0048757F"/>
    <w:rsid w:val="004B5096"/>
    <w:rsid w:val="004D711F"/>
    <w:rsid w:val="004E6AEB"/>
    <w:rsid w:val="004F162F"/>
    <w:rsid w:val="00501D38"/>
    <w:rsid w:val="00503647"/>
    <w:rsid w:val="00505C35"/>
    <w:rsid w:val="0050617D"/>
    <w:rsid w:val="00512C86"/>
    <w:rsid w:val="00512CE8"/>
    <w:rsid w:val="00517235"/>
    <w:rsid w:val="00517C8E"/>
    <w:rsid w:val="005246A4"/>
    <w:rsid w:val="00527C5F"/>
    <w:rsid w:val="005365D3"/>
    <w:rsid w:val="00540CDC"/>
    <w:rsid w:val="005722A2"/>
    <w:rsid w:val="00575312"/>
    <w:rsid w:val="00575EE3"/>
    <w:rsid w:val="00577A4B"/>
    <w:rsid w:val="00592D06"/>
    <w:rsid w:val="005962D3"/>
    <w:rsid w:val="005A338D"/>
    <w:rsid w:val="005B3951"/>
    <w:rsid w:val="005C3723"/>
    <w:rsid w:val="005E1603"/>
    <w:rsid w:val="005E78B9"/>
    <w:rsid w:val="006226CD"/>
    <w:rsid w:val="00627485"/>
    <w:rsid w:val="00641C30"/>
    <w:rsid w:val="00644602"/>
    <w:rsid w:val="00662678"/>
    <w:rsid w:val="00670CE4"/>
    <w:rsid w:val="006971BE"/>
    <w:rsid w:val="006B6DED"/>
    <w:rsid w:val="006C2E2A"/>
    <w:rsid w:val="006D7282"/>
    <w:rsid w:val="007020BD"/>
    <w:rsid w:val="00710A49"/>
    <w:rsid w:val="0072233B"/>
    <w:rsid w:val="0072344B"/>
    <w:rsid w:val="007334E4"/>
    <w:rsid w:val="00734935"/>
    <w:rsid w:val="00734D49"/>
    <w:rsid w:val="00746CB6"/>
    <w:rsid w:val="00770285"/>
    <w:rsid w:val="007831FA"/>
    <w:rsid w:val="007C0BEF"/>
    <w:rsid w:val="007E7BCA"/>
    <w:rsid w:val="007E7F24"/>
    <w:rsid w:val="0080268B"/>
    <w:rsid w:val="0080306E"/>
    <w:rsid w:val="0081408D"/>
    <w:rsid w:val="00823275"/>
    <w:rsid w:val="0082778C"/>
    <w:rsid w:val="00840931"/>
    <w:rsid w:val="00847F71"/>
    <w:rsid w:val="0085653A"/>
    <w:rsid w:val="00881108"/>
    <w:rsid w:val="008845CB"/>
    <w:rsid w:val="008937A2"/>
    <w:rsid w:val="008A06B6"/>
    <w:rsid w:val="008A0DA5"/>
    <w:rsid w:val="008C4881"/>
    <w:rsid w:val="008D059B"/>
    <w:rsid w:val="00902B51"/>
    <w:rsid w:val="00922A45"/>
    <w:rsid w:val="00930568"/>
    <w:rsid w:val="0094019E"/>
    <w:rsid w:val="00943B8C"/>
    <w:rsid w:val="009448E5"/>
    <w:rsid w:val="00945EC4"/>
    <w:rsid w:val="009469C9"/>
    <w:rsid w:val="0095387C"/>
    <w:rsid w:val="00960E15"/>
    <w:rsid w:val="00966551"/>
    <w:rsid w:val="00973A43"/>
    <w:rsid w:val="00977310"/>
    <w:rsid w:val="00995D9D"/>
    <w:rsid w:val="00997FC8"/>
    <w:rsid w:val="009B542D"/>
    <w:rsid w:val="009B5E24"/>
    <w:rsid w:val="009B7FD7"/>
    <w:rsid w:val="009C1616"/>
    <w:rsid w:val="009C5BAE"/>
    <w:rsid w:val="009C5D7A"/>
    <w:rsid w:val="009E05BF"/>
    <w:rsid w:val="009E1544"/>
    <w:rsid w:val="009E27B5"/>
    <w:rsid w:val="009E6C95"/>
    <w:rsid w:val="009F2A5D"/>
    <w:rsid w:val="00A00B03"/>
    <w:rsid w:val="00A02724"/>
    <w:rsid w:val="00A1077E"/>
    <w:rsid w:val="00A230EB"/>
    <w:rsid w:val="00A275F4"/>
    <w:rsid w:val="00A27623"/>
    <w:rsid w:val="00A3782A"/>
    <w:rsid w:val="00A4138B"/>
    <w:rsid w:val="00A42772"/>
    <w:rsid w:val="00A43933"/>
    <w:rsid w:val="00A452C2"/>
    <w:rsid w:val="00A56D67"/>
    <w:rsid w:val="00A61345"/>
    <w:rsid w:val="00A85AF3"/>
    <w:rsid w:val="00A866C5"/>
    <w:rsid w:val="00A87E66"/>
    <w:rsid w:val="00A95740"/>
    <w:rsid w:val="00A97DEB"/>
    <w:rsid w:val="00AA29B8"/>
    <w:rsid w:val="00AB44A1"/>
    <w:rsid w:val="00AC119C"/>
    <w:rsid w:val="00AD0887"/>
    <w:rsid w:val="00B0321C"/>
    <w:rsid w:val="00B13143"/>
    <w:rsid w:val="00B14979"/>
    <w:rsid w:val="00B14B09"/>
    <w:rsid w:val="00B16EA5"/>
    <w:rsid w:val="00B41AEB"/>
    <w:rsid w:val="00B470FE"/>
    <w:rsid w:val="00B473ED"/>
    <w:rsid w:val="00B61847"/>
    <w:rsid w:val="00B64443"/>
    <w:rsid w:val="00B65586"/>
    <w:rsid w:val="00B72181"/>
    <w:rsid w:val="00B74821"/>
    <w:rsid w:val="00B74AFD"/>
    <w:rsid w:val="00B96F05"/>
    <w:rsid w:val="00BC0BDC"/>
    <w:rsid w:val="00BC1986"/>
    <w:rsid w:val="00BE424E"/>
    <w:rsid w:val="00BF0B12"/>
    <w:rsid w:val="00BF37DB"/>
    <w:rsid w:val="00C03834"/>
    <w:rsid w:val="00C058F6"/>
    <w:rsid w:val="00C06936"/>
    <w:rsid w:val="00C100FC"/>
    <w:rsid w:val="00C21515"/>
    <w:rsid w:val="00C36F27"/>
    <w:rsid w:val="00C5446E"/>
    <w:rsid w:val="00C565F0"/>
    <w:rsid w:val="00C810F6"/>
    <w:rsid w:val="00C91002"/>
    <w:rsid w:val="00CB5A40"/>
    <w:rsid w:val="00CC186B"/>
    <w:rsid w:val="00CC7984"/>
    <w:rsid w:val="00CC7CB2"/>
    <w:rsid w:val="00CD7DC0"/>
    <w:rsid w:val="00CF1CE5"/>
    <w:rsid w:val="00D03003"/>
    <w:rsid w:val="00D14B27"/>
    <w:rsid w:val="00D255DF"/>
    <w:rsid w:val="00D279F4"/>
    <w:rsid w:val="00D30E01"/>
    <w:rsid w:val="00D403FC"/>
    <w:rsid w:val="00D41FB4"/>
    <w:rsid w:val="00D45D66"/>
    <w:rsid w:val="00D45F78"/>
    <w:rsid w:val="00D50A24"/>
    <w:rsid w:val="00D51369"/>
    <w:rsid w:val="00D51C8B"/>
    <w:rsid w:val="00D5762C"/>
    <w:rsid w:val="00D61101"/>
    <w:rsid w:val="00D619D9"/>
    <w:rsid w:val="00D754F0"/>
    <w:rsid w:val="00D774A2"/>
    <w:rsid w:val="00D856F8"/>
    <w:rsid w:val="00D974AE"/>
    <w:rsid w:val="00DB13F0"/>
    <w:rsid w:val="00DD1802"/>
    <w:rsid w:val="00DD34F0"/>
    <w:rsid w:val="00DD56B5"/>
    <w:rsid w:val="00DD6881"/>
    <w:rsid w:val="00DE0A9A"/>
    <w:rsid w:val="00DF11A1"/>
    <w:rsid w:val="00DF6BEC"/>
    <w:rsid w:val="00E03E04"/>
    <w:rsid w:val="00E07DD9"/>
    <w:rsid w:val="00E178FE"/>
    <w:rsid w:val="00E205CC"/>
    <w:rsid w:val="00E30F3E"/>
    <w:rsid w:val="00E320E8"/>
    <w:rsid w:val="00E344A9"/>
    <w:rsid w:val="00E6253F"/>
    <w:rsid w:val="00E64ADA"/>
    <w:rsid w:val="00E815C3"/>
    <w:rsid w:val="00E82B41"/>
    <w:rsid w:val="00E97347"/>
    <w:rsid w:val="00E97B92"/>
    <w:rsid w:val="00EB409D"/>
    <w:rsid w:val="00EC222B"/>
    <w:rsid w:val="00EC594B"/>
    <w:rsid w:val="00ED1497"/>
    <w:rsid w:val="00EE26DC"/>
    <w:rsid w:val="00EE72EF"/>
    <w:rsid w:val="00F209C6"/>
    <w:rsid w:val="00F26F01"/>
    <w:rsid w:val="00F356DB"/>
    <w:rsid w:val="00F50CEF"/>
    <w:rsid w:val="00F60FFA"/>
    <w:rsid w:val="00F6142F"/>
    <w:rsid w:val="00F674F6"/>
    <w:rsid w:val="00F7133D"/>
    <w:rsid w:val="00FA6CC3"/>
    <w:rsid w:val="00FB1B8D"/>
    <w:rsid w:val="00FB3268"/>
    <w:rsid w:val="00FB50D7"/>
    <w:rsid w:val="00FC0941"/>
    <w:rsid w:val="00FC7125"/>
    <w:rsid w:val="00FD16B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A464E"/>
  <w15:docId w15:val="{7456CDD2-2AB6-45DD-8559-9D4150AE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1C"/>
    <w:pPr>
      <w:widowControl w:val="0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E2A"/>
    <w:rPr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C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C2E2A"/>
    <w:rPr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D255DF"/>
    <w:pPr>
      <w:ind w:firstLineChars="200" w:firstLine="4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255DF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55DF"/>
    <w:rPr>
      <w:sz w:val="18"/>
      <w:szCs w:val="18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D255D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68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68B"/>
    <w:rPr>
      <w:rFonts w:ascii="Times New Roman" w:hAnsi="Times New Roman" w:cs="Times New Roman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26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6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268B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6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68B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80268B"/>
    <w:rPr>
      <w:lang w:val="en-GB"/>
    </w:rPr>
  </w:style>
  <w:style w:type="table" w:styleId="Tabellenraster">
    <w:name w:val="Table Grid"/>
    <w:basedOn w:val="NormaleTabelle"/>
    <w:uiPriority w:val="39"/>
    <w:rsid w:val="00CB5A40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B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074D-5887-48B3-9D91-446C00D0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Frederic Liu</cp:lastModifiedBy>
  <cp:revision>51</cp:revision>
  <dcterms:created xsi:type="dcterms:W3CDTF">2020-07-21T05:32:00Z</dcterms:created>
  <dcterms:modified xsi:type="dcterms:W3CDTF">2022-04-18T21:03:00Z</dcterms:modified>
</cp:coreProperties>
</file>