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B9B8C" w14:textId="77777777" w:rsidR="003911CD" w:rsidRPr="0038005C" w:rsidRDefault="003911CD" w:rsidP="003911CD">
      <w:pPr>
        <w:spacing w:before="120" w:after="120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bookmarkStart w:id="0" w:name="OLE_LINK1"/>
      <w:bookmarkStart w:id="1" w:name="OLE_LINK2"/>
      <w:bookmarkStart w:id="2" w:name="OLE_LINK3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humanism</w:t>
      </w:r>
      <w:r w:rsidRPr="0038005C">
        <w:rPr>
          <w:rFonts w:ascii="Times New Roman" w:hAnsi="Times New Roman" w:cs="Times New Roman"/>
          <w:b/>
          <w:bCs/>
          <w:sz w:val="32"/>
          <w:szCs w:val="32"/>
          <w:lang w:val="en-US"/>
        </w:rPr>
        <w:t>/</w:t>
      </w:r>
      <w:r w:rsidRPr="00F8177E">
        <w:rPr>
          <w:rFonts w:ascii="Songti TC" w:eastAsia="Songti TC" w:hAnsi="Songti TC" w:cs="Times New Roman" w:hint="eastAsia"/>
          <w:b/>
          <w:bCs/>
          <w:sz w:val="32"/>
          <w:szCs w:val="32"/>
          <w:lang w:val="en-US"/>
        </w:rPr>
        <w:t>仁</w:t>
      </w:r>
      <w:r w:rsidRPr="0038005C">
        <w:rPr>
          <w:rFonts w:ascii="Times New Roman" w:eastAsia="Microsoft YaHei" w:hAnsi="Times New Roman" w:cs="Times New Roman" w:hint="eastAsia"/>
          <w:b/>
          <w:bCs/>
          <w:sz w:val="32"/>
          <w:szCs w:val="32"/>
          <w:lang w:val="en-US"/>
        </w:rPr>
        <w:t>(</w:t>
      </w:r>
      <w:proofErr w:type="spellStart"/>
      <w:r w:rsidRPr="00AE00ED">
        <w:rPr>
          <w:rFonts w:ascii="Times New Roman" w:eastAsia="Microsoft YaHei" w:hAnsi="Times New Roman" w:cs="Times New Roman"/>
          <w:b/>
          <w:bCs/>
          <w:sz w:val="32"/>
          <w:szCs w:val="32"/>
          <w:lang w:val="en-US"/>
        </w:rPr>
        <w:t>Rén</w:t>
      </w:r>
      <w:proofErr w:type="spellEnd"/>
      <w:r w:rsidRPr="0038005C">
        <w:rPr>
          <w:rFonts w:ascii="Times New Roman" w:eastAsia="Microsoft YaHei" w:hAnsi="Times New Roman" w:cs="Times New Roman"/>
          <w:b/>
          <w:bCs/>
          <w:sz w:val="32"/>
          <w:szCs w:val="32"/>
          <w:lang w:val="en-US"/>
        </w:rPr>
        <w:t>)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4110"/>
        <w:gridCol w:w="2069"/>
      </w:tblGrid>
      <w:tr w:rsidR="003911CD" w14:paraId="11F6BCE0" w14:textId="77777777" w:rsidTr="004D2DA3">
        <w:trPr>
          <w:trHeight w:val="347"/>
          <w:jc w:val="center"/>
        </w:trPr>
        <w:tc>
          <w:tcPr>
            <w:tcW w:w="2127" w:type="dxa"/>
          </w:tcPr>
          <w:p w14:paraId="768B2785" w14:textId="77777777" w:rsidR="003911CD" w:rsidRPr="00D75663" w:rsidRDefault="003911CD" w:rsidP="004D2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Final Remarks</w:t>
            </w:r>
          </w:p>
        </w:tc>
        <w:tc>
          <w:tcPr>
            <w:tcW w:w="4110" w:type="dxa"/>
          </w:tcPr>
          <w:p w14:paraId="53780C1B" w14:textId="77777777" w:rsidR="003911CD" w:rsidRPr="00D75663" w:rsidRDefault="003911CD" w:rsidP="004D2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ZHAO </w:t>
            </w:r>
            <w:proofErr w:type="spellStart"/>
            <w:r>
              <w:rPr>
                <w:rFonts w:ascii="Times New Roman" w:hAnsi="Times New Roman" w:cs="Times New Roman"/>
              </w:rPr>
              <w:t>Tingyang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E432D8">
              <w:rPr>
                <w:rFonts w:ascii="Times New Roman" w:hAnsi="Times New Roman" w:cs="Times New Roman"/>
                <w:lang w:val="en-US"/>
              </w:rPr>
              <w:t>Dominique Lambert</w:t>
            </w:r>
          </w:p>
        </w:tc>
        <w:tc>
          <w:tcPr>
            <w:tcW w:w="2069" w:type="dxa"/>
          </w:tcPr>
          <w:p w14:paraId="3F754C23" w14:textId="77777777" w:rsidR="003911CD" w:rsidRPr="00D75663" w:rsidRDefault="003911CD" w:rsidP="004D2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 May</w:t>
            </w:r>
            <w:r w:rsidRPr="00D75663">
              <w:rPr>
                <w:rFonts w:ascii="Times New Roman" w:hAnsi="Times New Roman" w:cs="Times New Roman"/>
              </w:rPr>
              <w:t xml:space="preserve"> 2022</w:t>
            </w:r>
          </w:p>
        </w:tc>
      </w:tr>
    </w:tbl>
    <w:bookmarkEnd w:id="0"/>
    <w:bookmarkEnd w:id="1"/>
    <w:bookmarkEnd w:id="2"/>
    <w:p w14:paraId="038780D6" w14:textId="4A198914" w:rsidR="004A2A61" w:rsidRPr="003911CD" w:rsidRDefault="00172AD3" w:rsidP="003911CD">
      <w:pPr>
        <w:spacing w:before="120" w:after="120"/>
        <w:ind w:left="284" w:hanging="286"/>
        <w:rPr>
          <w:rFonts w:ascii="Songti TC" w:eastAsia="Songti TC" w:hAnsi="Songti TC" w:cs="Times New Roman"/>
          <w:lang w:val="en-US"/>
        </w:rPr>
      </w:pPr>
      <w:r w:rsidRPr="003911CD">
        <w:rPr>
          <w:rFonts w:ascii="Songti TC" w:eastAsia="Songti TC" w:hAnsi="Songti TC" w:cs="SimSun"/>
        </w:rPr>
        <w:t>赵汀阳：亲爱的</w:t>
      </w:r>
      <w:bookmarkStart w:id="3" w:name="OLE_LINK11"/>
      <w:bookmarkStart w:id="4" w:name="OLE_LINK12"/>
      <w:r w:rsidRPr="003911CD">
        <w:rPr>
          <w:rFonts w:ascii="Songti TC" w:eastAsia="Songti TC" w:hAnsi="Songti TC" w:cs="SimSun"/>
        </w:rPr>
        <w:t>多米尼克·兰伯特教授</w:t>
      </w:r>
      <w:bookmarkEnd w:id="3"/>
      <w:bookmarkEnd w:id="4"/>
      <w:r w:rsidRPr="003911CD">
        <w:rPr>
          <w:rFonts w:ascii="Songti TC" w:eastAsia="Songti TC" w:hAnsi="Songti TC" w:cs="SimSun"/>
        </w:rPr>
        <w:t>，我非常欣赏您对西方人文主义所做出的阐释。请让我进一步讨论基于“仁”的双边型或关系型的人文主义，与基于绝对人性的个人人文主义之间的形而上学分歧。我所谓的绝对人性，是指欧洲对人的定义，就亚里士多德式的理性而言，抑或是康德式的，自主的自由意志而言都是如此。绝对的人文主义</w:t>
      </w:r>
      <w:r w:rsidR="001F09FA" w:rsidRPr="003911CD">
        <w:rPr>
          <w:rFonts w:ascii="Songti TC" w:eastAsia="Songti TC" w:hAnsi="Songti TC" w:cs="SimSun" w:hint="eastAsia"/>
        </w:rPr>
        <w:t>（</w:t>
      </w:r>
      <w:r w:rsidRPr="003911CD">
        <w:rPr>
          <w:rFonts w:ascii="Songti TC" w:eastAsia="Songti TC" w:hAnsi="Songti TC" w:cs="SimSun"/>
        </w:rPr>
        <w:t>absolute humanism)，认为人性的本质内在于个体的人，无论是被定义成天生的本性，或是主动的主体性。顺便一提，萨特的理论并不包括在内，因为存在先于本质，似乎更像是一派胡言。它在逻辑上是不成立的。一个有自我意识的存在，应该有他的主观性</w:t>
      </w:r>
      <w:r w:rsidR="001F09FA" w:rsidRPr="003911CD">
        <w:rPr>
          <w:rFonts w:ascii="Songti TC" w:eastAsia="Songti TC" w:hAnsi="Songti TC" w:cs="SimSun" w:hint="eastAsia"/>
        </w:rPr>
        <w:t>（</w:t>
      </w:r>
      <w:r w:rsidRPr="003911CD">
        <w:rPr>
          <w:rFonts w:ascii="Songti TC" w:eastAsia="Songti TC" w:hAnsi="Songti TC" w:cs="SimSun"/>
        </w:rPr>
        <w:t>subjectivity</w:t>
      </w:r>
      <w:r w:rsidR="00F7699A" w:rsidRPr="003911CD">
        <w:rPr>
          <w:rFonts w:ascii="Songti TC" w:eastAsia="Songti TC" w:hAnsi="Songti TC" w:cs="SimSun" w:hint="eastAsia"/>
        </w:rPr>
        <w:t>）</w:t>
      </w:r>
      <w:r w:rsidRPr="003911CD">
        <w:rPr>
          <w:rFonts w:ascii="Songti TC" w:eastAsia="Songti TC" w:hAnsi="Songti TC" w:cs="SimSun"/>
        </w:rPr>
        <w:t>来为他选择一个本质，故而这个主观性，必然是作为他的先验本质存在于他身上。</w:t>
      </w:r>
    </w:p>
    <w:p w14:paraId="006646F2" w14:textId="1C83BBD3" w:rsidR="004A2A61" w:rsidRPr="003911CD" w:rsidRDefault="00172AD3" w:rsidP="003911CD">
      <w:pPr>
        <w:spacing w:before="120" w:after="120"/>
        <w:ind w:left="284"/>
        <w:rPr>
          <w:rFonts w:ascii="Songti TC" w:eastAsia="Songti TC" w:hAnsi="Songti TC" w:cs="Times New Roman"/>
          <w:lang w:val="en-US"/>
        </w:rPr>
      </w:pPr>
      <w:r w:rsidRPr="003911CD">
        <w:rPr>
          <w:rFonts w:ascii="Songti TC" w:eastAsia="Songti TC" w:hAnsi="Songti TC" w:cs="SimSun"/>
        </w:rPr>
        <w:t>在我看来，绝对的人文主义可能是好的，如果它不暗示一种强制性的伦理准则，如人权的伦理准则。休谟在这一点上是对的，即</w:t>
      </w:r>
      <w:r w:rsidRPr="003911CD">
        <w:rPr>
          <w:rFonts w:ascii="Songti TC" w:eastAsia="Songti TC" w:hAnsi="Songti TC" w:cs="SimSun"/>
          <w:i/>
        </w:rPr>
        <w:t>应然</w:t>
      </w:r>
      <w:r w:rsidR="001F09FA" w:rsidRPr="003911CD">
        <w:rPr>
          <w:rFonts w:ascii="Songti TC" w:eastAsia="Songti TC" w:hAnsi="Songti TC" w:cs="SimSun" w:hint="eastAsia"/>
          <w:i/>
        </w:rPr>
        <w:t>（</w:t>
      </w:r>
      <w:r w:rsidRPr="003911CD">
        <w:rPr>
          <w:rFonts w:ascii="Songti TC" w:eastAsia="Songti TC" w:hAnsi="Songti TC" w:cs="SimSun"/>
          <w:i/>
        </w:rPr>
        <w:t>ought</w:t>
      </w:r>
      <w:r w:rsidR="00F7699A" w:rsidRPr="003911CD">
        <w:rPr>
          <w:rFonts w:ascii="Songti TC" w:eastAsia="Songti TC" w:hAnsi="Songti TC" w:cs="SimSun" w:hint="eastAsia"/>
          <w:i/>
        </w:rPr>
        <w:t>）</w:t>
      </w:r>
      <w:r w:rsidRPr="003911CD">
        <w:rPr>
          <w:rFonts w:ascii="Songti TC" w:eastAsia="Songti TC" w:hAnsi="Songti TC" w:cs="SimSun"/>
        </w:rPr>
        <w:t>不能从</w:t>
      </w:r>
      <w:r w:rsidRPr="003911CD">
        <w:rPr>
          <w:rFonts w:ascii="Songti TC" w:eastAsia="Songti TC" w:hAnsi="Songti TC" w:cs="SimSun"/>
          <w:i/>
        </w:rPr>
        <w:t>实然</w:t>
      </w:r>
      <w:r w:rsidR="001F09FA" w:rsidRPr="003911CD">
        <w:rPr>
          <w:rFonts w:ascii="Songti TC" w:eastAsia="Songti TC" w:hAnsi="Songti TC" w:cs="SimSun" w:hint="eastAsia"/>
          <w:i/>
        </w:rPr>
        <w:t>（</w:t>
      </w:r>
      <w:r w:rsidRPr="003911CD">
        <w:rPr>
          <w:rFonts w:ascii="Songti TC" w:eastAsia="Songti TC" w:hAnsi="Songti TC" w:cs="SimSun"/>
          <w:i/>
        </w:rPr>
        <w:t>is</w:t>
      </w:r>
      <w:r w:rsidR="00F7699A" w:rsidRPr="003911CD">
        <w:rPr>
          <w:rFonts w:ascii="Songti TC" w:eastAsia="Songti TC" w:hAnsi="Songti TC" w:cs="SimSun" w:hint="eastAsia"/>
          <w:i/>
        </w:rPr>
        <w:t>）</w:t>
      </w:r>
      <w:r w:rsidRPr="003911CD">
        <w:rPr>
          <w:rFonts w:ascii="Songti TC" w:eastAsia="Songti TC" w:hAnsi="Songti TC" w:cs="SimSun"/>
        </w:rPr>
        <w:t>中被推导出来。所以我认为，在理性意义上的亚里士多德式的人性概念，比现代在主观性意义上的人性概念更有说服力，因为理性在生物学上是有说服力的，而自我主义的主观性，应当被视作是一种悬而未决的，</w:t>
      </w:r>
      <w:r w:rsidRPr="003911CD">
        <w:rPr>
          <w:rFonts w:ascii="Songti TC" w:eastAsia="Songti TC" w:hAnsi="Songti TC" w:cs="SimSun"/>
          <w:i/>
        </w:rPr>
        <w:t>应然</w:t>
      </w:r>
      <w:r w:rsidRPr="003911CD">
        <w:rPr>
          <w:rFonts w:ascii="Songti TC" w:eastAsia="Songti TC" w:hAnsi="Songti TC" w:cs="SimSun"/>
        </w:rPr>
        <w:t>的主张，它不能从</w:t>
      </w:r>
      <w:r w:rsidRPr="003911CD">
        <w:rPr>
          <w:rFonts w:ascii="Songti TC" w:eastAsia="Songti TC" w:hAnsi="Songti TC" w:cs="SimSun"/>
          <w:i/>
        </w:rPr>
        <w:t>实然</w:t>
      </w:r>
      <w:r w:rsidRPr="003911CD">
        <w:rPr>
          <w:rFonts w:ascii="Songti TC" w:eastAsia="Songti TC" w:hAnsi="Songti TC" w:cs="SimSun"/>
        </w:rPr>
        <w:t>中被推导出来。而另一种情形，就仁而言，双边型或关系型人文主义并不许诺有一个人类的先验本质。它主张，通过主体间性或与他人的互惠关系，人性在不断地被发展或培养，以至于成为一种跨主体性的形式，因此它被认为是培育人性的，主体间的变量</w:t>
      </w:r>
      <w:r w:rsidR="001F09FA" w:rsidRPr="003911CD">
        <w:rPr>
          <w:rFonts w:ascii="Songti TC" w:eastAsia="Songti TC" w:hAnsi="Songti TC" w:cs="SimSun" w:hint="eastAsia"/>
        </w:rPr>
        <w:t>（</w:t>
      </w:r>
      <w:r w:rsidRPr="003911CD">
        <w:rPr>
          <w:rFonts w:ascii="Songti TC" w:eastAsia="Songti TC" w:hAnsi="Songti TC" w:cs="SimSun"/>
        </w:rPr>
        <w:t xml:space="preserve">intersubjective </w:t>
      </w:r>
      <w:r w:rsidRPr="003911CD">
        <w:rPr>
          <w:rFonts w:ascii="Songti TC" w:eastAsia="Songti TC" w:hAnsi="Songti TC" w:cs="SimSun"/>
        </w:rPr>
        <w:lastRenderedPageBreak/>
        <w:t>variables</w:t>
      </w:r>
      <w:r w:rsidR="00F7699A" w:rsidRPr="003911CD">
        <w:rPr>
          <w:rFonts w:ascii="Songti TC" w:eastAsia="Songti TC" w:hAnsi="Songti TC" w:cs="SimSun" w:hint="eastAsia"/>
        </w:rPr>
        <w:t>）</w:t>
      </w:r>
      <w:r w:rsidRPr="003911CD">
        <w:rPr>
          <w:rFonts w:ascii="Songti TC" w:eastAsia="Songti TC" w:hAnsi="Songti TC" w:cs="SimSun"/>
        </w:rPr>
        <w:t>的一种功能价值。</w:t>
      </w:r>
    </w:p>
    <w:p w14:paraId="56E1B938" w14:textId="49C9772D" w:rsidR="00CF6D34" w:rsidRPr="003911CD" w:rsidRDefault="00172AD3" w:rsidP="003911CD">
      <w:pPr>
        <w:spacing w:before="120" w:after="120"/>
        <w:ind w:left="284" w:hanging="286"/>
        <w:rPr>
          <w:rFonts w:ascii="Songti TC" w:eastAsia="Songti TC" w:hAnsi="Songti TC" w:cs="Times New Roman"/>
          <w:lang w:val="en-US"/>
        </w:rPr>
      </w:pPr>
      <w:r w:rsidRPr="003911CD">
        <w:rPr>
          <w:rFonts w:ascii="Songti TC" w:eastAsia="Songti TC" w:hAnsi="Songti TC" w:cs="SimSun"/>
        </w:rPr>
        <w:t>多米尼克·兰伯特：亲爱的赵汀阳教授，非常感谢您对</w:t>
      </w:r>
      <w:r w:rsidRPr="003911CD">
        <w:rPr>
          <w:rFonts w:ascii="Songti TC" w:eastAsia="Songti TC" w:hAnsi="Songti TC" w:cs="SimSun"/>
          <w:i/>
          <w:iCs/>
        </w:rPr>
        <w:t>“仁”</w:t>
      </w:r>
      <w:r w:rsidRPr="003911CD">
        <w:rPr>
          <w:rFonts w:ascii="Songti TC" w:eastAsia="Songti TC" w:hAnsi="Songti TC" w:cs="SimSun"/>
        </w:rPr>
        <w:t>一词，在中国传统中的使用与理解的深入分析。对我来说，这是非常富有趣味和启发性的。在今日的西方世界，人们可以找到三种关乎“人性”定义的主流哲学倾向。</w:t>
      </w:r>
    </w:p>
    <w:p w14:paraId="75A34363" w14:textId="63AE209A" w:rsidR="00CF6D34" w:rsidRPr="003911CD" w:rsidRDefault="00172AD3" w:rsidP="003911CD">
      <w:pPr>
        <w:spacing w:before="120" w:after="120"/>
        <w:ind w:left="284"/>
        <w:rPr>
          <w:rFonts w:ascii="Songti TC" w:eastAsia="Songti TC" w:hAnsi="Songti TC" w:cs="Times New Roman"/>
          <w:lang w:val="en-US"/>
        </w:rPr>
      </w:pPr>
      <w:r w:rsidRPr="003911CD">
        <w:rPr>
          <w:rFonts w:ascii="Songti TC" w:eastAsia="Songti TC" w:hAnsi="Songti TC" w:cs="SimSun"/>
        </w:rPr>
        <w:t>第一种是从古代和中世纪继承下来的，即从形而上学的基础（本质或本性</w:t>
      </w:r>
      <w:r w:rsidR="001F09FA" w:rsidRPr="003911CD">
        <w:rPr>
          <w:rFonts w:ascii="Songti TC" w:eastAsia="Songti TC" w:hAnsi="Songti TC" w:cs="SimSun" w:hint="eastAsia"/>
        </w:rPr>
        <w:t>（</w:t>
      </w:r>
      <w:r w:rsidRPr="003911CD">
        <w:rPr>
          <w:rFonts w:ascii="Songti TC" w:eastAsia="Songti TC" w:hAnsi="Songti TC" w:cs="SimSun"/>
        </w:rPr>
        <w:t>essence or nature)）出发，将人定义为一个个体，一个人。这种观念，就是你所谓的“绝对的人文主义”。在这种观念中，人与人之间的关系并不是人性定义的根本要素，它仅仅是从形而上学的基础上衍生而出。人的本性使她/他能够开启人际关系。观念论</w:t>
      </w:r>
      <w:r w:rsidR="001F09FA" w:rsidRPr="003911CD">
        <w:rPr>
          <w:rFonts w:ascii="Songti TC" w:eastAsia="Songti TC" w:hAnsi="Songti TC" w:cs="SimSun" w:hint="eastAsia"/>
        </w:rPr>
        <w:t>（</w:t>
      </w:r>
      <w:r w:rsidRPr="003911CD">
        <w:rPr>
          <w:rFonts w:ascii="Songti TC" w:eastAsia="Songti TC" w:hAnsi="Songti TC" w:cs="SimSun"/>
        </w:rPr>
        <w:t>Idealism</w:t>
      </w:r>
      <w:r w:rsidR="00F7699A" w:rsidRPr="003911CD">
        <w:rPr>
          <w:rFonts w:ascii="Songti TC" w:eastAsia="Songti TC" w:hAnsi="Songti TC" w:cs="SimSun" w:hint="eastAsia"/>
        </w:rPr>
        <w:t>）</w:t>
      </w:r>
      <w:r w:rsidRPr="003911CD">
        <w:rPr>
          <w:rFonts w:ascii="Songti TC" w:eastAsia="Songti TC" w:hAnsi="Songti TC" w:cs="SimSun"/>
        </w:rPr>
        <w:t>放弃了本体论的立场，但却保留了人性的个体概念。在这些传统中（实在论的和观念论的</w:t>
      </w:r>
      <w:r w:rsidR="001F09FA" w:rsidRPr="003911CD">
        <w:rPr>
          <w:rFonts w:ascii="Songti TC" w:eastAsia="Songti TC" w:hAnsi="Songti TC" w:cs="SimSun" w:hint="eastAsia"/>
        </w:rPr>
        <w:t>（</w:t>
      </w:r>
      <w:r w:rsidRPr="003911CD">
        <w:rPr>
          <w:rFonts w:ascii="Songti TC" w:eastAsia="Songti TC" w:hAnsi="Songti TC" w:cs="SimSun"/>
        </w:rPr>
        <w:t>realist and idealist)），人性的定义具有伦理意义（人“是什么”意味着人“要做什么”）。这些个人和"主体中心"的立场，确实与中国的</w:t>
      </w:r>
      <w:r w:rsidR="003A6FB3" w:rsidRPr="003911CD">
        <w:rPr>
          <w:rFonts w:ascii="Songti TC" w:eastAsia="Songti TC" w:hAnsi="Songti TC" w:cs="SimSun"/>
          <w:i/>
          <w:iCs/>
        </w:rPr>
        <w:t>仁</w:t>
      </w:r>
      <w:r w:rsidRPr="003911CD">
        <w:rPr>
          <w:rFonts w:ascii="Songti TC" w:eastAsia="Songti TC" w:hAnsi="Songti TC" w:cs="SimSun"/>
        </w:rPr>
        <w:t>之传统有所分歧。</w:t>
      </w:r>
    </w:p>
    <w:p w14:paraId="562218C2" w14:textId="3C7B5C4B" w:rsidR="00CF6D34" w:rsidRPr="003911CD" w:rsidRDefault="00172AD3" w:rsidP="003911CD">
      <w:pPr>
        <w:spacing w:before="120" w:after="120"/>
        <w:ind w:left="284"/>
        <w:rPr>
          <w:rFonts w:ascii="Songti TC" w:eastAsia="Songti TC" w:hAnsi="Songti TC" w:cs="Times New Roman"/>
          <w:lang w:val="en-US"/>
        </w:rPr>
      </w:pPr>
      <w:r w:rsidRPr="003911CD">
        <w:rPr>
          <w:rFonts w:ascii="Songti TC" w:eastAsia="Songti TC" w:hAnsi="Songti TC" w:cs="SimSun"/>
        </w:rPr>
        <w:t>第二种则继承自唯名论</w:t>
      </w:r>
      <w:r w:rsidR="001F09FA" w:rsidRPr="003911CD">
        <w:rPr>
          <w:rFonts w:ascii="Songti TC" w:eastAsia="Songti TC" w:hAnsi="Songti TC" w:cs="SimSun" w:hint="eastAsia"/>
        </w:rPr>
        <w:t>（</w:t>
      </w:r>
      <w:r w:rsidRPr="003911CD">
        <w:rPr>
          <w:rFonts w:ascii="Songti TC" w:eastAsia="Songti TC" w:hAnsi="Songti TC" w:cs="SimSun"/>
        </w:rPr>
        <w:t>Nominalism)，后来又继承自经验主义（比如约翰·洛克），并从人的“表现”（认知，......）来定义人性，逐步引向</w:t>
      </w:r>
      <w:r w:rsidR="00967C0C" w:rsidRPr="003911CD">
        <w:rPr>
          <w:rFonts w:ascii="Songti TC" w:eastAsia="Songti TC" w:hAnsi="Songti TC" w:cs="SimSun"/>
          <w:i/>
          <w:iCs/>
        </w:rPr>
        <w:t>人身</w:t>
      </w:r>
      <w:r w:rsidR="001F09FA" w:rsidRPr="003911CD">
        <w:rPr>
          <w:rFonts w:ascii="Songti TC" w:eastAsia="Songti TC" w:hAnsi="Songti TC" w:cs="SimSun" w:hint="eastAsia"/>
        </w:rPr>
        <w:t>（</w:t>
      </w:r>
      <w:r w:rsidRPr="003911CD">
        <w:rPr>
          <w:rFonts w:ascii="Songti TC" w:eastAsia="Songti TC" w:hAnsi="Songti TC" w:cs="SimSun"/>
        </w:rPr>
        <w:t>human person</w:t>
      </w:r>
      <w:r w:rsidR="00F7699A" w:rsidRPr="003911CD">
        <w:rPr>
          <w:rFonts w:ascii="Songti TC" w:eastAsia="Songti TC" w:hAnsi="Songti TC" w:cs="SimSun" w:hint="eastAsia"/>
        </w:rPr>
        <w:t>）</w:t>
      </w:r>
      <w:r w:rsidRPr="003911CD">
        <w:rPr>
          <w:rFonts w:ascii="Songti TC" w:eastAsia="Songti TC" w:hAnsi="Songti TC" w:cs="SimSun"/>
        </w:rPr>
        <w:t>与</w:t>
      </w:r>
      <w:r w:rsidR="00967C0C" w:rsidRPr="003911CD">
        <w:rPr>
          <w:rFonts w:ascii="Songti TC" w:eastAsia="Songti TC" w:hAnsi="Songti TC" w:cs="SimSun"/>
          <w:i/>
          <w:iCs/>
        </w:rPr>
        <w:t>人类</w:t>
      </w:r>
      <w:r w:rsidR="001F09FA" w:rsidRPr="003911CD">
        <w:rPr>
          <w:rFonts w:ascii="Songti TC" w:eastAsia="Songti TC" w:hAnsi="Songti TC" w:cs="SimSun" w:hint="eastAsia"/>
        </w:rPr>
        <w:t>（</w:t>
      </w:r>
      <w:r w:rsidRPr="003911CD">
        <w:rPr>
          <w:rFonts w:ascii="Songti TC" w:eastAsia="Songti TC" w:hAnsi="Songti TC" w:cs="SimSun"/>
        </w:rPr>
        <w:t>human being</w:t>
      </w:r>
      <w:r w:rsidR="00F7699A" w:rsidRPr="003911CD">
        <w:rPr>
          <w:rFonts w:ascii="Songti TC" w:eastAsia="Songti TC" w:hAnsi="Songti TC" w:cs="SimSun" w:hint="eastAsia"/>
        </w:rPr>
        <w:t>）</w:t>
      </w:r>
      <w:r w:rsidRPr="003911CD">
        <w:rPr>
          <w:rFonts w:ascii="Songti TC" w:eastAsia="Songti TC" w:hAnsi="Songti TC" w:cs="SimSun"/>
        </w:rPr>
        <w:t>之间的区分。这一立场，与从生物学描述出发来定义人性的立场相当类似（例如，以大脑认知能力来定义人性，将其视作理性活动的来源）。这里有关人类的定义，没有直接的伦理层面（生物学提供了经验性的描述，而非伦理规范）。</w:t>
      </w:r>
    </w:p>
    <w:p w14:paraId="1F2F6815" w14:textId="3A1B9380" w:rsidR="00C54C04" w:rsidRPr="003911CD" w:rsidRDefault="00172AD3" w:rsidP="003911CD">
      <w:pPr>
        <w:spacing w:before="120" w:after="120"/>
        <w:ind w:left="284"/>
        <w:rPr>
          <w:rFonts w:ascii="Songti TC" w:eastAsia="Songti TC" w:hAnsi="Songti TC" w:cs="Times New Roman"/>
          <w:lang w:val="en-US"/>
        </w:rPr>
      </w:pPr>
      <w:r w:rsidRPr="003911CD">
        <w:rPr>
          <w:rFonts w:ascii="Songti TC" w:eastAsia="Songti TC" w:hAnsi="Songti TC" w:cs="SimSun"/>
        </w:rPr>
        <w:t>第三种在欧洲文化中较为新近，它会是</w:t>
      </w:r>
      <w:r w:rsidR="00E749B3" w:rsidRPr="003911CD">
        <w:rPr>
          <w:rFonts w:ascii="Songti TC" w:eastAsia="Songti TC" w:hAnsi="Songti TC" w:cs="SimSun"/>
          <w:i/>
          <w:iCs/>
        </w:rPr>
        <w:t>关系型的</w:t>
      </w:r>
      <w:r w:rsidRPr="003911CD">
        <w:rPr>
          <w:rFonts w:ascii="Songti TC" w:eastAsia="Songti TC" w:hAnsi="Songti TC" w:cs="SimSun"/>
        </w:rPr>
        <w:t>：人身是由主体间的关系所构成的。你可以认为，这里将人类的本体论定义，植根于伦理的立场（我想</w:t>
      </w:r>
      <w:r w:rsidRPr="003911CD">
        <w:rPr>
          <w:rFonts w:ascii="Songti TC" w:eastAsia="Songti TC" w:hAnsi="Songti TC" w:cs="SimSun"/>
        </w:rPr>
        <w:lastRenderedPageBreak/>
        <w:t>到了伊曼纽尔·列维纳斯）。但你也可以参考各种更近的结构主义立场或是关系本体论。后者似乎与中国对</w:t>
      </w:r>
      <w:r w:rsidR="00F24BAE" w:rsidRPr="003911CD">
        <w:rPr>
          <w:rFonts w:ascii="Songti TC" w:eastAsia="Songti TC" w:hAnsi="Songti TC" w:cs="SimSun"/>
          <w:i/>
          <w:iCs/>
        </w:rPr>
        <w:t>仁</w:t>
      </w:r>
      <w:r w:rsidRPr="003911CD">
        <w:rPr>
          <w:rFonts w:ascii="Songti TC" w:eastAsia="Songti TC" w:hAnsi="Songti TC" w:cs="SimSun"/>
        </w:rPr>
        <w:t>的理解非常相似。与中国传统的对话是硕果累累的，因为它强调了对人性的</w:t>
      </w:r>
      <w:r w:rsidRPr="003911CD">
        <w:rPr>
          <w:rFonts w:ascii="Songti TC" w:eastAsia="Songti TC" w:hAnsi="Songti TC" w:cs="SimSun"/>
          <w:i/>
          <w:iCs/>
        </w:rPr>
        <w:t>关系型</w:t>
      </w:r>
      <w:r w:rsidRPr="003911CD">
        <w:rPr>
          <w:rFonts w:ascii="Songti TC" w:eastAsia="Songti TC" w:hAnsi="Songti TC" w:cs="SimSun"/>
        </w:rPr>
        <w:t>定义的重要性，这一点在西方的一些传统中，已被忘却许久。爱、友爱和友情，是我们想称之为“人际关系”、人性和人文主义的核心所在。但是，这里依旧存在着几个问题，它们将使我们继续这一有趣的对话：我们可以忽略或完全压制（不借助逻辑或哲学问题）关系的本体论基础问题吗？ 我们真的可以将人性的关系</w:t>
      </w:r>
      <w:r w:rsidR="001F09FA" w:rsidRPr="003911CD">
        <w:rPr>
          <w:rFonts w:ascii="Songti TC" w:eastAsia="Songti TC" w:hAnsi="Songti TC" w:cs="SimSun" w:hint="eastAsia"/>
        </w:rPr>
        <w:t>（</w:t>
      </w:r>
      <w:r w:rsidRPr="003911CD">
        <w:rPr>
          <w:rFonts w:ascii="Songti TC" w:eastAsia="Songti TC" w:hAnsi="Songti TC" w:cs="SimSun"/>
        </w:rPr>
        <w:t>humane relation</w:t>
      </w:r>
      <w:r w:rsidR="00F7699A" w:rsidRPr="003911CD">
        <w:rPr>
          <w:rFonts w:ascii="Songti TC" w:eastAsia="Songti TC" w:hAnsi="Songti TC" w:cs="SimSun" w:hint="eastAsia"/>
        </w:rPr>
        <w:t>）</w:t>
      </w:r>
      <w:r w:rsidRPr="003911CD">
        <w:rPr>
          <w:rFonts w:ascii="Songti TC" w:eastAsia="Songti TC" w:hAnsi="Songti TC" w:cs="SimSun"/>
        </w:rPr>
        <w:t>的道德部分，与人的更深层次的定义切断吗（以避免伦理的彻底任意性）？或者我们可以说，关系（其最佳实例是爱）是人性的深层本质？所有这些问题，可能都可以在下一次欧盟-中国论坛的背景下被处理和讨论。</w:t>
      </w:r>
    </w:p>
    <w:sectPr w:rsidR="00C54C04" w:rsidRPr="003911CD" w:rsidSect="003911CD"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A1FB7" w14:textId="77777777" w:rsidR="00CF1087" w:rsidRDefault="00CF1087" w:rsidP="00D10C58">
      <w:r>
        <w:separator/>
      </w:r>
    </w:p>
  </w:endnote>
  <w:endnote w:type="continuationSeparator" w:id="0">
    <w:p w14:paraId="15B10B12" w14:textId="77777777" w:rsidR="00CF1087" w:rsidRDefault="00CF1087" w:rsidP="00D10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97E77" w14:textId="77777777" w:rsidR="00CF1087" w:rsidRDefault="00CF1087" w:rsidP="00D10C58">
      <w:r>
        <w:separator/>
      </w:r>
    </w:p>
  </w:footnote>
  <w:footnote w:type="continuationSeparator" w:id="0">
    <w:p w14:paraId="1F3AFCE1" w14:textId="77777777" w:rsidR="00CF1087" w:rsidRDefault="00CF1087" w:rsidP="00D10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0F3A"/>
    <w:rsid w:val="00052567"/>
    <w:rsid w:val="0014486A"/>
    <w:rsid w:val="00152E9A"/>
    <w:rsid w:val="00172AD3"/>
    <w:rsid w:val="001F09FA"/>
    <w:rsid w:val="0023366B"/>
    <w:rsid w:val="00234A87"/>
    <w:rsid w:val="00253F29"/>
    <w:rsid w:val="002B4B32"/>
    <w:rsid w:val="00300171"/>
    <w:rsid w:val="00320F3A"/>
    <w:rsid w:val="00322969"/>
    <w:rsid w:val="0038005C"/>
    <w:rsid w:val="003911CD"/>
    <w:rsid w:val="003A6FB3"/>
    <w:rsid w:val="00454864"/>
    <w:rsid w:val="00457F4D"/>
    <w:rsid w:val="004A2A61"/>
    <w:rsid w:val="004F5B06"/>
    <w:rsid w:val="005224A9"/>
    <w:rsid w:val="005B4C56"/>
    <w:rsid w:val="006310D3"/>
    <w:rsid w:val="006F0C6A"/>
    <w:rsid w:val="00745F07"/>
    <w:rsid w:val="0076253C"/>
    <w:rsid w:val="007E3540"/>
    <w:rsid w:val="008145BE"/>
    <w:rsid w:val="00815200"/>
    <w:rsid w:val="00851404"/>
    <w:rsid w:val="008F05A1"/>
    <w:rsid w:val="00936163"/>
    <w:rsid w:val="009371D2"/>
    <w:rsid w:val="00967C0C"/>
    <w:rsid w:val="009C5D0B"/>
    <w:rsid w:val="00A14D0B"/>
    <w:rsid w:val="00AF12C5"/>
    <w:rsid w:val="00B44ECB"/>
    <w:rsid w:val="00B75E33"/>
    <w:rsid w:val="00BB40A3"/>
    <w:rsid w:val="00BC7920"/>
    <w:rsid w:val="00C036B2"/>
    <w:rsid w:val="00C11492"/>
    <w:rsid w:val="00C54C04"/>
    <w:rsid w:val="00CE277A"/>
    <w:rsid w:val="00CF1087"/>
    <w:rsid w:val="00CF5C2C"/>
    <w:rsid w:val="00CF6D34"/>
    <w:rsid w:val="00D10C58"/>
    <w:rsid w:val="00D227DD"/>
    <w:rsid w:val="00D47B2C"/>
    <w:rsid w:val="00D75663"/>
    <w:rsid w:val="00E432D8"/>
    <w:rsid w:val="00E62964"/>
    <w:rsid w:val="00E749B3"/>
    <w:rsid w:val="00EA726F"/>
    <w:rsid w:val="00F24BAE"/>
    <w:rsid w:val="00F72B1F"/>
    <w:rsid w:val="00F75266"/>
    <w:rsid w:val="00F756F9"/>
    <w:rsid w:val="00F7699A"/>
    <w:rsid w:val="00F8177E"/>
    <w:rsid w:val="00FA469F"/>
    <w:rsid w:val="00FC5B2B"/>
    <w:rsid w:val="00FF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9C44E"/>
  <w15:docId w15:val="{3EF8EA56-F924-EF40-9912-F2290C9C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44ECB"/>
    <w:pPr>
      <w:widowControl w:val="0"/>
      <w:jc w:val="both"/>
    </w:pPr>
    <w:rPr>
      <w:rFonts w:ascii="Arial" w:eastAsia="KaiTi" w:hAnsi="Arial" w:cs="Arial"/>
      <w:kern w:val="2"/>
      <w:lang w:val="en-GB"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44ECB"/>
    <w:rPr>
      <w:lang w:val="de-DE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eilennummer">
    <w:name w:val="line number"/>
    <w:basedOn w:val="Absatz-Standardschriftart"/>
    <w:uiPriority w:val="99"/>
    <w:semiHidden/>
    <w:unhideWhenUsed/>
    <w:rsid w:val="00B44ECB"/>
  </w:style>
  <w:style w:type="paragraph" w:styleId="Kopfzeile">
    <w:name w:val="header"/>
    <w:basedOn w:val="Standard"/>
    <w:link w:val="KopfzeileZchn"/>
    <w:uiPriority w:val="99"/>
    <w:unhideWhenUsed/>
    <w:rsid w:val="00D10C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D10C58"/>
    <w:rPr>
      <w:rFonts w:ascii="Arial" w:eastAsia="KaiTi" w:hAnsi="Arial" w:cs="Arial"/>
      <w:kern w:val="2"/>
      <w:sz w:val="18"/>
      <w:szCs w:val="18"/>
      <w:lang w:val="en-GB" w:eastAsia="zh-CN"/>
    </w:rPr>
  </w:style>
  <w:style w:type="paragraph" w:styleId="Fuzeile">
    <w:name w:val="footer"/>
    <w:basedOn w:val="Standard"/>
    <w:link w:val="FuzeileZchn"/>
    <w:uiPriority w:val="99"/>
    <w:unhideWhenUsed/>
    <w:rsid w:val="00D10C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D10C58"/>
    <w:rPr>
      <w:rFonts w:ascii="Arial" w:eastAsia="KaiTi" w:hAnsi="Arial" w:cs="Arial"/>
      <w:kern w:val="2"/>
      <w:sz w:val="18"/>
      <w:szCs w:val="1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Frederic Liu</cp:lastModifiedBy>
  <cp:revision>68</cp:revision>
  <dcterms:created xsi:type="dcterms:W3CDTF">2022-04-21T16:04:00Z</dcterms:created>
  <dcterms:modified xsi:type="dcterms:W3CDTF">2022-06-14T09:58:00Z</dcterms:modified>
</cp:coreProperties>
</file>