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E8DB2" w14:textId="77777777" w:rsidR="00A60D8D" w:rsidRPr="00B96CFF" w:rsidRDefault="00A60D8D" w:rsidP="00A60D8D">
      <w:pPr>
        <w:spacing w:before="120" w:after="120"/>
        <w:jc w:val="center"/>
        <w:rPr>
          <w:rFonts w:ascii="Times New Roman" w:hAnsi="Times New Roman" w:cs="Times New Roman"/>
          <w:b/>
          <w:bCs/>
          <w:sz w:val="32"/>
          <w:szCs w:val="32"/>
        </w:rPr>
      </w:pPr>
      <w:bookmarkStart w:id="0" w:name="OLE_LINK1"/>
      <w:bookmarkStart w:id="1" w:name="OLE_LINK2"/>
      <w:bookmarkStart w:id="2" w:name="OLE_LINK3"/>
      <w:bookmarkStart w:id="3" w:name="OLE_LINK11"/>
      <w:proofErr w:type="gramStart"/>
      <w:r w:rsidRPr="00B96CFF">
        <w:rPr>
          <w:rFonts w:ascii="Times New Roman" w:hAnsi="Times New Roman" w:cs="Times New Roman"/>
          <w:b/>
          <w:bCs/>
          <w:sz w:val="32"/>
          <w:szCs w:val="32"/>
        </w:rPr>
        <w:t>relation</w:t>
      </w:r>
      <w:proofErr w:type="gramEnd"/>
      <w:r w:rsidRPr="00B96CFF">
        <w:rPr>
          <w:rFonts w:ascii="Times New Roman" w:hAnsi="Times New Roman" w:cs="Times New Roman"/>
          <w:b/>
          <w:bCs/>
          <w:sz w:val="32"/>
          <w:szCs w:val="32"/>
        </w:rPr>
        <w:t>/</w:t>
      </w:r>
      <w:r w:rsidRPr="00B96CFF">
        <w:rPr>
          <w:rFonts w:ascii="Times New Roman" w:eastAsia="Songti TC" w:hAnsi="Times New Roman" w:cs="Times New Roman"/>
          <w:b/>
          <w:bCs/>
          <w:sz w:val="32"/>
          <w:szCs w:val="32"/>
        </w:rPr>
        <w:t>关系</w:t>
      </w:r>
      <w:r w:rsidRPr="00B96CFF">
        <w:rPr>
          <w:rFonts w:ascii="Times New Roman" w:eastAsia="Microsoft YaHei" w:hAnsi="Times New Roman" w:cs="Times New Roman"/>
          <w:b/>
          <w:bCs/>
          <w:sz w:val="32"/>
          <w:szCs w:val="32"/>
        </w:rPr>
        <w:t>(Guān Xì)</w:t>
      </w:r>
    </w:p>
    <w:tbl>
      <w:tblPr>
        <w:tblW w:w="0" w:type="auto"/>
        <w:jc w:val="center"/>
        <w:tblLook w:val="04A0" w:firstRow="1" w:lastRow="0" w:firstColumn="1" w:lastColumn="0" w:noHBand="0" w:noVBand="1"/>
      </w:tblPr>
      <w:tblGrid>
        <w:gridCol w:w="3020"/>
        <w:gridCol w:w="3021"/>
        <w:gridCol w:w="3021"/>
      </w:tblGrid>
      <w:tr w:rsidR="00A60D8D" w:rsidRPr="00B96CFF" w14:paraId="2480B9C7" w14:textId="77777777" w:rsidTr="00955223">
        <w:trPr>
          <w:trHeight w:val="347"/>
          <w:jc w:val="center"/>
        </w:trPr>
        <w:tc>
          <w:tcPr>
            <w:tcW w:w="3020" w:type="dxa"/>
            <w:shd w:val="clear" w:color="auto" w:fill="auto"/>
          </w:tcPr>
          <w:p w14:paraId="57CE9AB6" w14:textId="77777777" w:rsidR="00A60D8D" w:rsidRPr="00B96CFF" w:rsidRDefault="00A60D8D" w:rsidP="00955223">
            <w:pPr>
              <w:jc w:val="center"/>
              <w:rPr>
                <w:rFonts w:ascii="Times New Roman" w:eastAsia="DengXian" w:hAnsi="Times New Roman" w:cs="Times New Roman"/>
              </w:rPr>
            </w:pPr>
            <w:bookmarkStart w:id="4" w:name="OLE_LINK7"/>
            <w:bookmarkStart w:id="5" w:name="OLE_LINK8"/>
            <w:bookmarkStart w:id="6" w:name="OLE_LINK9"/>
            <w:bookmarkStart w:id="7" w:name="OLE_LINK10"/>
            <w:bookmarkStart w:id="8" w:name="OLE_LINK15"/>
            <w:r w:rsidRPr="00B96CFF">
              <w:rPr>
                <w:rFonts w:ascii="Times New Roman" w:eastAsia="DengXian" w:hAnsi="Times New Roman" w:cs="Times New Roman"/>
              </w:rPr>
              <w:t>European Perspective</w:t>
            </w:r>
          </w:p>
        </w:tc>
        <w:tc>
          <w:tcPr>
            <w:tcW w:w="3021" w:type="dxa"/>
            <w:shd w:val="clear" w:color="auto" w:fill="auto"/>
          </w:tcPr>
          <w:p w14:paraId="2C122909" w14:textId="77777777" w:rsidR="00A60D8D" w:rsidRPr="00B96CFF" w:rsidRDefault="00A60D8D" w:rsidP="00955223">
            <w:pPr>
              <w:jc w:val="center"/>
              <w:rPr>
                <w:rFonts w:ascii="Times New Roman" w:eastAsia="DengXian" w:hAnsi="Times New Roman" w:cs="Times New Roman"/>
              </w:rPr>
            </w:pPr>
            <w:r w:rsidRPr="00B96CFF">
              <w:rPr>
                <w:rFonts w:ascii="Times New Roman" w:eastAsia="DengXian" w:hAnsi="Times New Roman" w:cs="Times New Roman"/>
              </w:rPr>
              <w:t>Erik Guignard</w:t>
            </w:r>
          </w:p>
        </w:tc>
        <w:tc>
          <w:tcPr>
            <w:tcW w:w="3021" w:type="dxa"/>
            <w:shd w:val="clear" w:color="auto" w:fill="auto"/>
          </w:tcPr>
          <w:p w14:paraId="4FBD194F" w14:textId="77777777" w:rsidR="00A60D8D" w:rsidRPr="00B96CFF" w:rsidRDefault="00A60D8D" w:rsidP="00955223">
            <w:pPr>
              <w:jc w:val="center"/>
              <w:rPr>
                <w:rFonts w:ascii="Times New Roman" w:eastAsia="DengXian" w:hAnsi="Times New Roman" w:cs="Times New Roman"/>
              </w:rPr>
            </w:pPr>
            <w:r>
              <w:rPr>
                <w:rFonts w:ascii="Times New Roman" w:eastAsia="DengXian" w:hAnsi="Times New Roman" w:cs="Times New Roman"/>
              </w:rPr>
              <w:t>22</w:t>
            </w:r>
            <w:r w:rsidRPr="00B96CFF">
              <w:rPr>
                <w:rFonts w:ascii="Times New Roman" w:eastAsia="DengXian" w:hAnsi="Times New Roman" w:cs="Times New Roman"/>
              </w:rPr>
              <w:t xml:space="preserve"> Apr 2022</w:t>
            </w:r>
          </w:p>
        </w:tc>
      </w:tr>
    </w:tbl>
    <w:bookmarkEnd w:id="0"/>
    <w:bookmarkEnd w:id="1"/>
    <w:bookmarkEnd w:id="2"/>
    <w:bookmarkEnd w:id="3"/>
    <w:bookmarkEnd w:id="4"/>
    <w:bookmarkEnd w:id="5"/>
    <w:bookmarkEnd w:id="6"/>
    <w:bookmarkEnd w:id="7"/>
    <w:bookmarkEnd w:id="8"/>
    <w:p w14:paraId="7963C51B" w14:textId="77777777" w:rsidR="00A60D8D" w:rsidRPr="0076252D" w:rsidRDefault="00A60D8D" w:rsidP="00A60D8D">
      <w:pPr>
        <w:spacing w:before="120" w:after="120"/>
        <w:jc w:val="both"/>
        <w:rPr>
          <w:rFonts w:ascii="Times New Roman" w:hAnsi="Times New Roman" w:cs="Times New Roman"/>
          <w:lang w:val="en-US"/>
        </w:rPr>
      </w:pPr>
      <w:r w:rsidRPr="0076252D">
        <w:rPr>
          <w:rFonts w:ascii="Times New Roman" w:hAnsi="Times New Roman" w:cs="Times New Roman"/>
          <w:lang w:val="en-US"/>
        </w:rPr>
        <w:t xml:space="preserve">If the concept of relationship appears to be a fundamental concept used in a very general way to describe or account for relationships between any two entities, it seems difficult to find a general definition. On the other hand, it is possible to clarify its contours in specific contexts. The example chosen here is, with Confucius for whom "the person and the relationship come first", that of </w:t>
      </w:r>
      <w:r w:rsidRPr="0076252D">
        <w:rPr>
          <w:rFonts w:ascii="Times New Roman" w:hAnsi="Times New Roman" w:cs="Times New Roman"/>
          <w:i/>
          <w:iCs/>
          <w:lang w:val="en-US"/>
        </w:rPr>
        <w:t>human relations</w:t>
      </w:r>
      <w:r w:rsidRPr="0076252D">
        <w:rPr>
          <w:rFonts w:ascii="Times New Roman" w:hAnsi="Times New Roman" w:cs="Times New Roman"/>
          <w:lang w:val="en-US"/>
        </w:rPr>
        <w:t xml:space="preserve">:  it is indeed, in this context, that misunderstandings may arise because of the frequent use of the word </w:t>
      </w:r>
      <w:r w:rsidRPr="0076252D">
        <w:rPr>
          <w:rFonts w:ascii="Times New Roman" w:hAnsi="Times New Roman" w:cs="Times New Roman"/>
          <w:i/>
          <w:iCs/>
          <w:lang w:val="en-US"/>
        </w:rPr>
        <w:t>relation</w:t>
      </w:r>
      <w:r w:rsidRPr="0076252D">
        <w:rPr>
          <w:rFonts w:ascii="Times New Roman" w:hAnsi="Times New Roman" w:cs="Times New Roman"/>
          <w:lang w:val="en-US"/>
        </w:rPr>
        <w:t xml:space="preserve"> in everyday life. Elsewhere, “rational” (scientific) contexts are, a priori, more susceptible to disagreements than to misunderstandings</w:t>
      </w:r>
      <w:r w:rsidRPr="0076252D">
        <w:rPr>
          <w:rStyle w:val="Funotenzeichen"/>
          <w:rFonts w:ascii="Times New Roman" w:hAnsi="Times New Roman" w:cs="Times New Roman"/>
          <w:lang w:val="en-US"/>
        </w:rPr>
        <w:footnoteReference w:id="1"/>
      </w:r>
      <w:r w:rsidRPr="0076252D">
        <w:rPr>
          <w:rFonts w:ascii="Times New Roman" w:hAnsi="Times New Roman" w:cs="Times New Roman"/>
          <w:lang w:val="en-US"/>
        </w:rPr>
        <w:t>.</w:t>
      </w:r>
    </w:p>
    <w:p w14:paraId="038D9765" w14:textId="77777777" w:rsidR="00A60D8D" w:rsidRPr="0076252D" w:rsidRDefault="00A60D8D" w:rsidP="00A60D8D">
      <w:pPr>
        <w:spacing w:before="120" w:after="120"/>
        <w:jc w:val="both"/>
        <w:rPr>
          <w:rFonts w:ascii="Times New Roman" w:hAnsi="Times New Roman" w:cs="Times New Roman"/>
          <w:b/>
          <w:bCs/>
          <w:color w:val="000000" w:themeColor="text1"/>
          <w:sz w:val="28"/>
          <w:szCs w:val="28"/>
          <w:lang w:val="en-US"/>
        </w:rPr>
      </w:pPr>
      <w:r w:rsidRPr="0076252D">
        <w:rPr>
          <w:rFonts w:ascii="Times New Roman" w:hAnsi="Times New Roman" w:cs="Times New Roman"/>
          <w:b/>
          <w:bCs/>
          <w:color w:val="000000" w:themeColor="text1"/>
          <w:sz w:val="28"/>
          <w:szCs w:val="28"/>
          <w:lang w:val="en-US"/>
        </w:rPr>
        <w:t>Human relationships</w:t>
      </w:r>
    </w:p>
    <w:p w14:paraId="69F5B775" w14:textId="77777777" w:rsidR="00A60D8D" w:rsidRPr="0076252D" w:rsidRDefault="00A60D8D" w:rsidP="00A60D8D">
      <w:pPr>
        <w:spacing w:before="120" w:after="120"/>
        <w:jc w:val="both"/>
        <w:rPr>
          <w:rFonts w:ascii="Times New Roman" w:hAnsi="Times New Roman" w:cs="Times New Roman"/>
          <w:lang w:val="en-US"/>
        </w:rPr>
      </w:pPr>
      <w:r w:rsidRPr="0076252D">
        <w:rPr>
          <w:rFonts w:ascii="Times New Roman" w:hAnsi="Times New Roman" w:cs="Times New Roman"/>
          <w:lang w:val="en-US"/>
        </w:rPr>
        <w:t xml:space="preserve">Both interpersonal and social human relationships are established from birth of </w:t>
      </w:r>
      <w:proofErr w:type="gramStart"/>
      <w:r w:rsidRPr="0076252D">
        <w:rPr>
          <w:rFonts w:ascii="Times New Roman" w:hAnsi="Times New Roman" w:cs="Times New Roman"/>
          <w:lang w:val="en-US"/>
        </w:rPr>
        <w:t>each individual</w:t>
      </w:r>
      <w:proofErr w:type="gramEnd"/>
      <w:r w:rsidRPr="0076252D">
        <w:rPr>
          <w:rFonts w:ascii="Times New Roman" w:hAnsi="Times New Roman" w:cs="Times New Roman"/>
          <w:lang w:val="en-US"/>
        </w:rPr>
        <w:t xml:space="preserve"> in a family, embedded in relationships of kinship and alliance, and then continue through personal and social relationships within a complex social fabric.</w:t>
      </w:r>
    </w:p>
    <w:p w14:paraId="128C056F" w14:textId="77777777" w:rsidR="00A60D8D" w:rsidRPr="0076252D" w:rsidRDefault="00A60D8D" w:rsidP="00A60D8D">
      <w:pPr>
        <w:spacing w:before="120" w:after="120"/>
        <w:jc w:val="both"/>
        <w:rPr>
          <w:rFonts w:ascii="Times New Roman" w:hAnsi="Times New Roman" w:cs="Times New Roman"/>
          <w:lang w:val="en-US"/>
        </w:rPr>
      </w:pPr>
      <w:r w:rsidRPr="0076252D">
        <w:rPr>
          <w:rFonts w:ascii="Times New Roman" w:hAnsi="Times New Roman" w:cs="Times New Roman"/>
          <w:lang w:val="en-US"/>
        </w:rPr>
        <w:t xml:space="preserve">The simplest situation is dyadic: x (a person, a group, …) has a relationship R (business, family, work, …) or is (an acquaintance, a friend, …), with y. But it easily becomes triadic with the intervention of a third party (mediator) xRy/z and beyond in a </w:t>
      </w:r>
      <w:proofErr w:type="gramStart"/>
      <w:r w:rsidRPr="0076252D">
        <w:rPr>
          <w:rFonts w:ascii="Times New Roman" w:hAnsi="Times New Roman" w:cs="Times New Roman"/>
          <w:lang w:val="en-US"/>
        </w:rPr>
        <w:t>more or less extended</w:t>
      </w:r>
      <w:proofErr w:type="gramEnd"/>
      <w:r w:rsidRPr="0076252D">
        <w:rPr>
          <w:rFonts w:ascii="Times New Roman" w:hAnsi="Times New Roman" w:cs="Times New Roman"/>
          <w:lang w:val="en-US"/>
        </w:rPr>
        <w:t xml:space="preserve"> network xRyRzR...</w:t>
      </w:r>
    </w:p>
    <w:p w14:paraId="20B92574" w14:textId="77777777" w:rsidR="00A60D8D" w:rsidRPr="0076252D" w:rsidRDefault="00A60D8D" w:rsidP="00A60D8D">
      <w:pPr>
        <w:spacing w:before="120" w:after="120"/>
        <w:jc w:val="both"/>
        <w:rPr>
          <w:rFonts w:ascii="Times New Roman" w:hAnsi="Times New Roman" w:cs="Times New Roman"/>
          <w:lang w:val="en-US"/>
        </w:rPr>
      </w:pPr>
      <w:r w:rsidRPr="0076252D">
        <w:rPr>
          <w:rFonts w:ascii="Times New Roman" w:hAnsi="Times New Roman" w:cs="Times New Roman"/>
          <w:lang w:val="en-US"/>
        </w:rPr>
        <w:t xml:space="preserve">To </w:t>
      </w:r>
      <w:proofErr w:type="gramStart"/>
      <w:r w:rsidRPr="0076252D">
        <w:rPr>
          <w:rFonts w:ascii="Times New Roman" w:hAnsi="Times New Roman" w:cs="Times New Roman"/>
          <w:lang w:val="en-US"/>
        </w:rPr>
        <w:t>enter into</w:t>
      </w:r>
      <w:proofErr w:type="gramEnd"/>
      <w:r w:rsidRPr="0076252D">
        <w:rPr>
          <w:rFonts w:ascii="Times New Roman" w:hAnsi="Times New Roman" w:cs="Times New Roman"/>
          <w:lang w:val="en-US"/>
        </w:rPr>
        <w:t xml:space="preserve"> a more precise description, two other concepts can be closely associated with a human relationship:</w:t>
      </w:r>
    </w:p>
    <w:p w14:paraId="79DE9A78" w14:textId="77777777" w:rsidR="00A60D8D" w:rsidRPr="0076252D" w:rsidRDefault="00A60D8D" w:rsidP="00A60D8D">
      <w:pPr>
        <w:spacing w:before="120" w:after="120"/>
        <w:jc w:val="both"/>
        <w:rPr>
          <w:rFonts w:ascii="Times New Roman" w:hAnsi="Times New Roman" w:cs="Times New Roman"/>
          <w:lang w:val="en-US"/>
        </w:rPr>
      </w:pPr>
      <w:r w:rsidRPr="0076252D">
        <w:rPr>
          <w:rFonts w:ascii="Times New Roman" w:hAnsi="Times New Roman" w:cs="Times New Roman"/>
          <w:lang w:val="en-US"/>
        </w:rPr>
        <w:t xml:space="preserve">-The first, which underlines its character, is that of </w:t>
      </w:r>
      <w:r w:rsidRPr="0076252D">
        <w:rPr>
          <w:rFonts w:ascii="Times New Roman" w:hAnsi="Times New Roman" w:cs="Times New Roman"/>
          <w:i/>
          <w:iCs/>
          <w:lang w:val="en-US"/>
        </w:rPr>
        <w:t>"link"</w:t>
      </w:r>
      <w:r w:rsidRPr="0076252D">
        <w:rPr>
          <w:rFonts w:ascii="Times New Roman" w:hAnsi="Times New Roman" w:cs="Times New Roman"/>
          <w:lang w:val="en-US"/>
        </w:rPr>
        <w:t xml:space="preserve"> since, paraphrasing Confucius, "there is no humanity except in the social link" and that, by their multiplicity and abundance, links are constitutive of the life of communities, whether they are positive (solidarity, friendship, equality, sharing), negative (violence, subordination, dependence, predation), neutral or ambivalent (competition, authority, hierarchy), and this according to values that are rarely universal, as communities often prefer to favour what distinguishes them rather than what brings them together.</w:t>
      </w:r>
    </w:p>
    <w:p w14:paraId="6BD8EACC" w14:textId="77777777" w:rsidR="00A60D8D" w:rsidRPr="0076252D" w:rsidRDefault="00A60D8D" w:rsidP="00A60D8D">
      <w:pPr>
        <w:spacing w:before="120" w:after="120"/>
        <w:jc w:val="both"/>
        <w:rPr>
          <w:rFonts w:ascii="Times New Roman" w:hAnsi="Times New Roman" w:cs="Times New Roman"/>
          <w:lang w:val="en-US"/>
        </w:rPr>
      </w:pPr>
      <w:r w:rsidRPr="0076252D">
        <w:rPr>
          <w:rFonts w:ascii="Times New Roman" w:hAnsi="Times New Roman" w:cs="Times New Roman"/>
          <w:lang w:val="en-US"/>
        </w:rPr>
        <w:t xml:space="preserve">-The second, which is part of everyday life, is that of </w:t>
      </w:r>
      <w:r w:rsidRPr="0076252D">
        <w:rPr>
          <w:rFonts w:ascii="Times New Roman" w:hAnsi="Times New Roman" w:cs="Times New Roman"/>
          <w:i/>
          <w:iCs/>
          <w:lang w:val="en-US"/>
        </w:rPr>
        <w:t>"exchange</w:t>
      </w:r>
      <w:r w:rsidRPr="0076252D">
        <w:rPr>
          <w:rFonts w:ascii="Times New Roman" w:hAnsi="Times New Roman" w:cs="Times New Roman"/>
          <w:lang w:val="en-US"/>
        </w:rPr>
        <w:t>" made of gifts, words, or symbols between people of the same community.</w:t>
      </w:r>
      <w:r w:rsidRPr="0076252D">
        <w:rPr>
          <w:rFonts w:ascii="Times New Roman" w:hAnsi="Times New Roman" w:cs="Times New Roman"/>
          <w:i/>
          <w:iCs/>
          <w:lang w:val="en-US"/>
        </w:rPr>
        <w:t xml:space="preserve"> </w:t>
      </w:r>
      <w:r w:rsidRPr="0076252D">
        <w:rPr>
          <w:rFonts w:ascii="Times New Roman" w:hAnsi="Times New Roman" w:cs="Times New Roman"/>
          <w:lang w:val="en-US"/>
        </w:rPr>
        <w:t>Etymologically, the Latin word “</w:t>
      </w:r>
      <w:r w:rsidRPr="0076252D">
        <w:rPr>
          <w:rFonts w:ascii="Times New Roman" w:hAnsi="Times New Roman" w:cs="Times New Roman"/>
          <w:i/>
          <w:iCs/>
          <w:lang w:val="en-US"/>
        </w:rPr>
        <w:t>com*</w:t>
      </w:r>
      <w:proofErr w:type="gramStart"/>
      <w:r w:rsidRPr="0076252D">
        <w:rPr>
          <w:rFonts w:ascii="Times New Roman" w:hAnsi="Times New Roman" w:cs="Times New Roman"/>
          <w:i/>
          <w:iCs/>
          <w:lang w:val="en-US"/>
        </w:rPr>
        <w:t>munis”</w:t>
      </w:r>
      <w:r w:rsidRPr="0076252D">
        <w:rPr>
          <w:rFonts w:ascii="Times New Roman" w:hAnsi="Times New Roman" w:cs="Times New Roman"/>
          <w:lang w:val="en-US"/>
        </w:rPr>
        <w:t xml:space="preserve">  suggests</w:t>
      </w:r>
      <w:proofErr w:type="gramEnd"/>
      <w:r w:rsidRPr="0076252D">
        <w:rPr>
          <w:rFonts w:ascii="Times New Roman" w:hAnsi="Times New Roman" w:cs="Times New Roman"/>
          <w:lang w:val="en-US"/>
        </w:rPr>
        <w:t>, at the root of the word, what is shared  together (</w:t>
      </w:r>
      <w:r w:rsidRPr="0076252D">
        <w:rPr>
          <w:rFonts w:ascii="Times New Roman" w:hAnsi="Times New Roman" w:cs="Times New Roman"/>
          <w:i/>
          <w:iCs/>
          <w:lang w:val="en-US"/>
        </w:rPr>
        <w:t>com</w:t>
      </w:r>
      <w:r w:rsidRPr="0076252D">
        <w:rPr>
          <w:rFonts w:ascii="Times New Roman" w:hAnsi="Times New Roman" w:cs="Times New Roman"/>
          <w:lang w:val="en-US"/>
        </w:rPr>
        <w:t xml:space="preserve">, with) and what is both a gift and an obligation, </w:t>
      </w:r>
      <w:r w:rsidRPr="0076252D">
        <w:rPr>
          <w:rFonts w:ascii="Times New Roman" w:hAnsi="Times New Roman" w:cs="Times New Roman"/>
          <w:i/>
          <w:iCs/>
          <w:lang w:val="en-US"/>
        </w:rPr>
        <w:t xml:space="preserve">"munus" </w:t>
      </w:r>
      <w:r w:rsidRPr="0076252D">
        <w:rPr>
          <w:rFonts w:ascii="Times New Roman" w:hAnsi="Times New Roman" w:cs="Times New Roman"/>
          <w:lang w:val="en-US"/>
        </w:rPr>
        <w:t>marking an implicit reciprocity of exchanges within a community and raising, at the same time, a question:</w:t>
      </w:r>
      <w:r w:rsidRPr="0076252D">
        <w:rPr>
          <w:rFonts w:ascii="Times New Roman" w:hAnsi="Times New Roman" w:cs="Times New Roman"/>
          <w:i/>
          <w:iCs/>
          <w:lang w:val="en-US"/>
        </w:rPr>
        <w:t xml:space="preserve"> "</w:t>
      </w:r>
      <w:r w:rsidRPr="0076252D">
        <w:rPr>
          <w:rFonts w:ascii="Times New Roman" w:hAnsi="Times New Roman" w:cs="Times New Roman"/>
          <w:b/>
          <w:bCs/>
          <w:i/>
          <w:iCs/>
          <w:lang w:val="en-US"/>
        </w:rPr>
        <w:t xml:space="preserve">to </w:t>
      </w:r>
      <w:r w:rsidRPr="0076252D">
        <w:rPr>
          <w:rFonts w:ascii="Times New Roman" w:hAnsi="Times New Roman" w:cs="Times New Roman"/>
          <w:b/>
          <w:bCs/>
          <w:lang w:val="en-US"/>
        </w:rPr>
        <w:t>whom</w:t>
      </w:r>
      <w:r w:rsidRPr="0076252D">
        <w:rPr>
          <w:rFonts w:ascii="Times New Roman" w:hAnsi="Times New Roman" w:cs="Times New Roman"/>
          <w:lang w:val="en-US"/>
        </w:rPr>
        <w:t xml:space="preserve"> do we give,</w:t>
      </w:r>
      <w:r w:rsidRPr="0076252D">
        <w:rPr>
          <w:rFonts w:ascii="Times New Roman" w:hAnsi="Times New Roman" w:cs="Times New Roman"/>
          <w:i/>
          <w:iCs/>
          <w:lang w:val="en-US"/>
        </w:rPr>
        <w:t xml:space="preserve"> </w:t>
      </w:r>
      <w:r w:rsidRPr="0076252D">
        <w:rPr>
          <w:rFonts w:ascii="Times New Roman" w:hAnsi="Times New Roman" w:cs="Times New Roman"/>
          <w:b/>
          <w:bCs/>
          <w:i/>
          <w:iCs/>
          <w:lang w:val="en-US"/>
        </w:rPr>
        <w:t xml:space="preserve">from whom </w:t>
      </w:r>
      <w:r w:rsidRPr="0076252D">
        <w:rPr>
          <w:rFonts w:ascii="Times New Roman" w:hAnsi="Times New Roman" w:cs="Times New Roman"/>
          <w:lang w:val="en-US"/>
        </w:rPr>
        <w:t>we receive</w:t>
      </w:r>
      <w:r w:rsidRPr="0076252D">
        <w:rPr>
          <w:rFonts w:ascii="Times New Roman" w:hAnsi="Times New Roman" w:cs="Times New Roman"/>
          <w:i/>
          <w:iCs/>
          <w:lang w:val="en-US"/>
        </w:rPr>
        <w:t xml:space="preserve">...? </w:t>
      </w:r>
      <w:r w:rsidRPr="0076252D">
        <w:rPr>
          <w:rFonts w:ascii="Times New Roman" w:hAnsi="Times New Roman" w:cs="Times New Roman"/>
          <w:lang w:val="en-US"/>
        </w:rPr>
        <w:t>A relationship unites what is separate and separates what is united but is defined just as much by the actors.</w:t>
      </w:r>
    </w:p>
    <w:p w14:paraId="7BB48207" w14:textId="77777777" w:rsidR="00A60D8D" w:rsidRPr="0076252D" w:rsidRDefault="00A60D8D" w:rsidP="00A60D8D">
      <w:pPr>
        <w:spacing w:before="120" w:after="120"/>
        <w:jc w:val="both"/>
        <w:rPr>
          <w:rFonts w:ascii="Times New Roman" w:hAnsi="Times New Roman" w:cs="Times New Roman"/>
          <w:lang w:val="en-US"/>
        </w:rPr>
      </w:pPr>
      <w:r w:rsidRPr="0076252D">
        <w:rPr>
          <w:rFonts w:ascii="Times New Roman" w:hAnsi="Times New Roman" w:cs="Times New Roman"/>
          <w:lang w:val="en-US"/>
        </w:rPr>
        <w:t>However, the answer is not univocal because the conceptions of the person have never stopped changing according to societies and times.</w:t>
      </w:r>
    </w:p>
    <w:p w14:paraId="56ED325D" w14:textId="77777777" w:rsidR="00A60D8D" w:rsidRPr="0076252D" w:rsidRDefault="00A60D8D" w:rsidP="00A60D8D">
      <w:pPr>
        <w:spacing w:before="120" w:after="120"/>
        <w:jc w:val="both"/>
        <w:rPr>
          <w:rFonts w:ascii="Times New Roman" w:hAnsi="Times New Roman" w:cs="Times New Roman"/>
          <w:lang w:val="en-US"/>
        </w:rPr>
      </w:pPr>
      <w:r w:rsidRPr="0076252D">
        <w:rPr>
          <w:rFonts w:ascii="Times New Roman" w:hAnsi="Times New Roman" w:cs="Times New Roman"/>
          <w:lang w:val="en-US"/>
        </w:rPr>
        <w:t xml:space="preserve">F. Tönnies (1855-1935) proposed to distinguish a “communal” vision (Gemeinschaft) concerning small, not very mobile populations, with a defined corpus of beliefs and an identification through a specific vision of parental relations and cooperation, as opposed to a “societal” vision (Gesellshaft) where the individual as a person is not integrated in such a strict </w:t>
      </w:r>
      <w:r w:rsidRPr="0076252D">
        <w:rPr>
          <w:rFonts w:ascii="Times New Roman" w:hAnsi="Times New Roman" w:cs="Times New Roman"/>
          <w:lang w:val="en-US"/>
        </w:rPr>
        <w:lastRenderedPageBreak/>
        <w:t>manner with his relatives. The matrimonial prohibitions and the rigor of reciprocity are then blurred in favor of other values where exchanges are increasingly regulated by law.</w:t>
      </w:r>
    </w:p>
    <w:p w14:paraId="64B2024F" w14:textId="77777777" w:rsidR="00A60D8D" w:rsidRPr="0076252D" w:rsidRDefault="00A60D8D" w:rsidP="00A60D8D">
      <w:pPr>
        <w:spacing w:before="120" w:after="120"/>
        <w:jc w:val="both"/>
        <w:rPr>
          <w:rFonts w:ascii="Times New Roman" w:hAnsi="Times New Roman" w:cs="Times New Roman"/>
          <w:b/>
          <w:bCs/>
          <w:sz w:val="28"/>
          <w:szCs w:val="28"/>
          <w:lang w:val="en-US"/>
        </w:rPr>
      </w:pPr>
      <w:r w:rsidRPr="0076252D">
        <w:rPr>
          <w:rFonts w:ascii="Times New Roman" w:hAnsi="Times New Roman" w:cs="Times New Roman"/>
          <w:b/>
          <w:bCs/>
          <w:sz w:val="28"/>
          <w:szCs w:val="28"/>
          <w:lang w:val="en-US"/>
        </w:rPr>
        <w:t>*Exchanges in a “community” vision (Gemeinshaft)</w:t>
      </w:r>
    </w:p>
    <w:p w14:paraId="1C0F7974" w14:textId="77777777" w:rsidR="00A60D8D" w:rsidRPr="0076252D" w:rsidRDefault="00A60D8D" w:rsidP="00A60D8D">
      <w:pPr>
        <w:spacing w:before="120" w:after="120"/>
        <w:jc w:val="both"/>
        <w:rPr>
          <w:rFonts w:ascii="Times New Roman" w:hAnsi="Times New Roman" w:cs="Times New Roman"/>
          <w:lang w:val="en-US"/>
        </w:rPr>
      </w:pPr>
      <w:r w:rsidRPr="0076252D">
        <w:rPr>
          <w:rFonts w:ascii="Times New Roman" w:hAnsi="Times New Roman" w:cs="Times New Roman"/>
          <w:lang w:val="en-US"/>
        </w:rPr>
        <w:t>From this standpoint, it is relevant to look at the concept of the person, starting with a significant example. Among the Sereers of Senegal, the person is conceived as the intersection of several relationships: that of flesh and bone, which comes from the mother and her matrilineage; that of blood, through the father and his matrilineage (at least among the Saafen); but also that of seniority - the elder/cadet relationship; and finally, that of friendship, that of the “nose-friends” which each person inherits and which follows the order of seniority. In addition, each person receives his or her “smell</w:t>
      </w:r>
      <w:r w:rsidRPr="0076252D">
        <w:rPr>
          <w:rFonts w:ascii="Times New Roman" w:hAnsi="Times New Roman" w:cs="Times New Roman"/>
          <w:i/>
          <w:iCs/>
          <w:lang w:val="en-US"/>
        </w:rPr>
        <w:t>”, kiili</w:t>
      </w:r>
      <w:r w:rsidRPr="0076252D">
        <w:rPr>
          <w:rFonts w:ascii="Times New Roman" w:hAnsi="Times New Roman" w:cs="Times New Roman"/>
          <w:lang w:val="en-US"/>
        </w:rPr>
        <w:t xml:space="preserve">, carried by the reincarnable soul, </w:t>
      </w:r>
      <w:r w:rsidRPr="0076252D">
        <w:rPr>
          <w:rFonts w:ascii="Times New Roman" w:hAnsi="Times New Roman" w:cs="Times New Roman"/>
          <w:i/>
          <w:iCs/>
          <w:lang w:val="en-US"/>
        </w:rPr>
        <w:t>coona,</w:t>
      </w:r>
      <w:r w:rsidRPr="0076252D">
        <w:rPr>
          <w:rFonts w:ascii="Times New Roman" w:hAnsi="Times New Roman" w:cs="Times New Roman"/>
          <w:lang w:val="en-US"/>
        </w:rPr>
        <w:t xml:space="preserve"> of an ancestor of his or her cognatic kin, who thus provides soul and protection until weaning.</w:t>
      </w:r>
    </w:p>
    <w:p w14:paraId="18B30812" w14:textId="77777777" w:rsidR="00A60D8D" w:rsidRPr="0076252D" w:rsidRDefault="00A60D8D" w:rsidP="00A60D8D">
      <w:pPr>
        <w:spacing w:before="120" w:after="120"/>
        <w:jc w:val="both"/>
        <w:rPr>
          <w:rFonts w:ascii="Times New Roman" w:hAnsi="Times New Roman" w:cs="Times New Roman"/>
          <w:lang w:val="en-US"/>
        </w:rPr>
      </w:pPr>
      <w:r w:rsidRPr="0076252D">
        <w:rPr>
          <w:rFonts w:ascii="Times New Roman" w:hAnsi="Times New Roman" w:cs="Times New Roman"/>
          <w:lang w:val="en-US"/>
        </w:rPr>
        <w:t>Each one, except for twins for whom an additional marker must be found, thus becomes unique, determined by these crossings, like those of the height lines that sailors traced to determine their position according to that of the stars far from terrestrial markers. And life then proceeds from the simultaneous and distinct existence of all these relationships, and thus of these names that make the bearer a unique being, integrated into a community that functions mainly according to principles of reciprocity and continuity between generations.</w:t>
      </w:r>
    </w:p>
    <w:p w14:paraId="27496578" w14:textId="77777777" w:rsidR="00A60D8D" w:rsidRPr="0076252D" w:rsidRDefault="00A60D8D" w:rsidP="00A60D8D">
      <w:pPr>
        <w:spacing w:before="120" w:after="120"/>
        <w:jc w:val="both"/>
        <w:rPr>
          <w:rFonts w:ascii="Times New Roman" w:hAnsi="Times New Roman" w:cs="Times New Roman"/>
          <w:lang w:val="en-US"/>
        </w:rPr>
      </w:pPr>
      <w:r w:rsidRPr="0076252D">
        <w:rPr>
          <w:rFonts w:ascii="Times New Roman" w:hAnsi="Times New Roman" w:cs="Times New Roman"/>
          <w:lang w:val="en-US"/>
        </w:rPr>
        <w:t>We can distinguish two archetypal figures of exchange characterising relations between people, both of which differ from authority relations</w:t>
      </w:r>
      <w:r w:rsidRPr="0076252D">
        <w:rPr>
          <w:rStyle w:val="Funotenzeichen"/>
          <w:rFonts w:ascii="Times New Roman" w:hAnsi="Times New Roman" w:cs="Times New Roman"/>
          <w:lang w:val="en-US"/>
        </w:rPr>
        <w:footnoteReference w:id="2"/>
      </w:r>
      <w:r w:rsidRPr="0076252D">
        <w:rPr>
          <w:rFonts w:ascii="Times New Roman" w:hAnsi="Times New Roman" w:cs="Times New Roman"/>
          <w:lang w:val="en-US"/>
        </w:rPr>
        <w:t xml:space="preserve">, communal sharing and commercial exchange (or any dyadic exchange without involvement of third parties). These are the </w:t>
      </w:r>
      <w:r w:rsidRPr="0076252D">
        <w:rPr>
          <w:rFonts w:ascii="Times New Roman" w:hAnsi="Times New Roman" w:cs="Times New Roman"/>
          <w:i/>
          <w:iCs/>
          <w:lang w:val="en-US"/>
        </w:rPr>
        <w:t>agonistic exchange</w:t>
      </w:r>
      <w:r w:rsidRPr="0076252D">
        <w:rPr>
          <w:rFonts w:ascii="Times New Roman" w:hAnsi="Times New Roman" w:cs="Times New Roman"/>
          <w:lang w:val="en-US"/>
        </w:rPr>
        <w:t xml:space="preserve">, of struggle, rivalry and even destruction (potlach) and the </w:t>
      </w:r>
      <w:r w:rsidRPr="0076252D">
        <w:rPr>
          <w:rFonts w:ascii="Times New Roman" w:hAnsi="Times New Roman" w:cs="Times New Roman"/>
          <w:i/>
          <w:iCs/>
          <w:lang w:val="en-US"/>
        </w:rPr>
        <w:t>triangular exchange</w:t>
      </w:r>
      <w:r w:rsidRPr="0076252D">
        <w:rPr>
          <w:rFonts w:ascii="Times New Roman" w:hAnsi="Times New Roman" w:cs="Times New Roman"/>
          <w:lang w:val="en-US"/>
        </w:rPr>
        <w:t xml:space="preserve">, that of Seneca (Allegory of the Three Graces) and of Marcel Mauss (Essay on the Gift,1923), which inscribes the exchange in a ceremonial network: </w:t>
      </w:r>
      <w:r w:rsidRPr="0076252D">
        <w:rPr>
          <w:rFonts w:ascii="Times New Roman" w:hAnsi="Times New Roman" w:cs="Times New Roman"/>
          <w:i/>
          <w:iCs/>
          <w:lang w:val="en-US"/>
        </w:rPr>
        <w:t xml:space="preserve">give, receive, return. </w:t>
      </w:r>
      <w:r w:rsidRPr="0076252D">
        <w:rPr>
          <w:rFonts w:ascii="Times New Roman" w:hAnsi="Times New Roman" w:cs="Times New Roman"/>
          <w:lang w:val="en-US"/>
        </w:rPr>
        <w:t xml:space="preserve">The </w:t>
      </w:r>
      <w:r w:rsidRPr="0076252D">
        <w:rPr>
          <w:rFonts w:ascii="Times New Roman" w:hAnsi="Times New Roman" w:cs="Times New Roman"/>
          <w:i/>
          <w:iCs/>
          <w:lang w:val="en-US"/>
        </w:rPr>
        <w:t>“gift”</w:t>
      </w:r>
      <w:r w:rsidRPr="0076252D">
        <w:rPr>
          <w:rFonts w:ascii="Times New Roman" w:hAnsi="Times New Roman" w:cs="Times New Roman"/>
          <w:lang w:val="en-US"/>
        </w:rPr>
        <w:t xml:space="preserve"> (and counter-gift) is a mutually obliging process which, with its symbolic dimension, ensure a permanent regeneration of the social bond.</w:t>
      </w:r>
    </w:p>
    <w:p w14:paraId="45C678A5" w14:textId="77777777" w:rsidR="00A60D8D" w:rsidRPr="0076252D" w:rsidRDefault="00A60D8D" w:rsidP="00A60D8D">
      <w:pPr>
        <w:spacing w:before="120" w:after="120"/>
        <w:jc w:val="both"/>
        <w:rPr>
          <w:rFonts w:ascii="Times New Roman" w:hAnsi="Times New Roman" w:cs="Times New Roman"/>
          <w:vertAlign w:val="superscript"/>
          <w:lang w:val="en-US"/>
        </w:rPr>
      </w:pPr>
      <w:r w:rsidRPr="0076252D">
        <w:rPr>
          <w:rFonts w:ascii="Times New Roman" w:hAnsi="Times New Roman" w:cs="Times New Roman"/>
          <w:b/>
          <w:bCs/>
          <w:lang w:val="en-US"/>
        </w:rPr>
        <w:t>Ceremonial gifts</w:t>
      </w:r>
      <w:r w:rsidRPr="0076252D">
        <w:rPr>
          <w:rFonts w:ascii="Times New Roman" w:hAnsi="Times New Roman" w:cs="Times New Roman"/>
          <w:lang w:val="en-US"/>
        </w:rPr>
        <w:t xml:space="preserve"> are those which, after a </w:t>
      </w:r>
      <w:proofErr w:type="gramStart"/>
      <w:r w:rsidRPr="0076252D">
        <w:rPr>
          <w:rFonts w:ascii="Times New Roman" w:hAnsi="Times New Roman" w:cs="Times New Roman"/>
          <w:lang w:val="en-US"/>
        </w:rPr>
        <w:t>more or less extensive</w:t>
      </w:r>
      <w:proofErr w:type="gramEnd"/>
      <w:r w:rsidRPr="0076252D">
        <w:rPr>
          <w:rFonts w:ascii="Times New Roman" w:hAnsi="Times New Roman" w:cs="Times New Roman"/>
          <w:lang w:val="en-US"/>
        </w:rPr>
        <w:t xml:space="preserve"> process, return to the initial donor. These are specific gifts</w:t>
      </w:r>
      <w:r w:rsidRPr="0076252D">
        <w:rPr>
          <w:rStyle w:val="Funotenzeichen"/>
          <w:rFonts w:ascii="Times New Roman" w:hAnsi="Times New Roman" w:cs="Times New Roman"/>
          <w:lang w:val="en-US"/>
        </w:rPr>
        <w:t xml:space="preserve"> </w:t>
      </w:r>
      <w:r w:rsidRPr="0076252D">
        <w:rPr>
          <w:rFonts w:ascii="Times New Roman" w:hAnsi="Times New Roman" w:cs="Times New Roman"/>
          <w:lang w:val="en-US"/>
        </w:rPr>
        <w:t>where relationships are more important than individuals; neither commercial nor inalienable, they ensure mutual recognition of status and mark the reciprocal belonging to the same network which may go beyond the borders of a group.  These are exchanges involving several partners and a deferred reciprocity: A gives to B who gives to C who gives directly to A or to B to give back to A and the return, without being equivalent, confirms the reciprocity of the exchanges because giving back is not cancelling the relationship but presages its renewal.</w:t>
      </w:r>
    </w:p>
    <w:p w14:paraId="6A0F39CA" w14:textId="77777777" w:rsidR="00A60D8D" w:rsidRPr="0076252D" w:rsidRDefault="00A60D8D" w:rsidP="00A60D8D">
      <w:pPr>
        <w:spacing w:before="120" w:after="120"/>
        <w:jc w:val="both"/>
        <w:rPr>
          <w:rFonts w:ascii="Times New Roman" w:hAnsi="Times New Roman" w:cs="Times New Roman"/>
          <w:lang w:val="en-US"/>
        </w:rPr>
      </w:pPr>
      <w:r w:rsidRPr="0076252D">
        <w:rPr>
          <w:rFonts w:ascii="Times New Roman" w:hAnsi="Times New Roman" w:cs="Times New Roman"/>
          <w:lang w:val="en-US"/>
        </w:rPr>
        <w:t xml:space="preserve">These reciprocities are at the basis of </w:t>
      </w:r>
      <w:r w:rsidRPr="0076252D">
        <w:rPr>
          <w:rFonts w:ascii="Times New Roman" w:hAnsi="Times New Roman" w:cs="Times New Roman"/>
          <w:b/>
          <w:bCs/>
          <w:i/>
          <w:iCs/>
          <w:lang w:val="en-US"/>
        </w:rPr>
        <w:t>triangular relationships:</w:t>
      </w:r>
      <w:r w:rsidRPr="0076252D">
        <w:rPr>
          <w:rFonts w:ascii="Times New Roman" w:hAnsi="Times New Roman" w:cs="Times New Roman"/>
          <w:lang w:val="en-US"/>
        </w:rPr>
        <w:t xml:space="preserve">  those of matrimonial alliances when a woman cannot marry without the agreement of her 'brother'</w:t>
      </w:r>
      <w:r w:rsidRPr="0076252D">
        <w:rPr>
          <w:rStyle w:val="Funotenzeichen"/>
          <w:rFonts w:ascii="Times New Roman" w:hAnsi="Times New Roman" w:cs="Times New Roman"/>
          <w:lang w:val="en-US"/>
        </w:rPr>
        <w:footnoteReference w:id="3"/>
      </w:r>
      <w:r w:rsidRPr="0076252D">
        <w:rPr>
          <w:rFonts w:ascii="Times New Roman" w:hAnsi="Times New Roman" w:cs="Times New Roman"/>
          <w:lang w:val="en-US"/>
        </w:rPr>
        <w:t xml:space="preserve"> at the expense of a deferred reciprocity, or, when, as among the Udalen Tuaregs, relations between lineages are scrupulously carried out in the ternary mode of generalised exchange; but also, within filiations in classificatory kinships</w:t>
      </w:r>
      <w:r w:rsidRPr="0076252D">
        <w:rPr>
          <w:rStyle w:val="Funotenzeichen"/>
          <w:rFonts w:ascii="Times New Roman" w:hAnsi="Times New Roman" w:cs="Times New Roman"/>
          <w:lang w:val="en-US"/>
        </w:rPr>
        <w:footnoteReference w:id="4"/>
      </w:r>
      <w:r w:rsidRPr="0076252D">
        <w:rPr>
          <w:rFonts w:ascii="Times New Roman" w:hAnsi="Times New Roman" w:cs="Times New Roman"/>
          <w:lang w:val="en-US"/>
        </w:rPr>
        <w:t xml:space="preserve"> where parents are classified as a group and not individually, the child belonging to the paternal or maternal group as much as to its progenitors. Finally, they are found in relationships mediated by a third party or a sacrificer, for example among the Hindus, where the gifts received by the Brahmins are returned by the gods themselves or the ancestors' spirits...</w:t>
      </w:r>
    </w:p>
    <w:p w14:paraId="6528F124" w14:textId="77777777" w:rsidR="00A60D8D" w:rsidRPr="0076252D" w:rsidRDefault="00A60D8D" w:rsidP="00A60D8D">
      <w:pPr>
        <w:spacing w:before="120" w:after="120"/>
        <w:jc w:val="both"/>
        <w:rPr>
          <w:rFonts w:ascii="Times New Roman" w:hAnsi="Times New Roman" w:cs="Times New Roman"/>
          <w:lang w:val="en-US"/>
        </w:rPr>
      </w:pPr>
      <w:r w:rsidRPr="0076252D">
        <w:rPr>
          <w:rFonts w:ascii="Times New Roman" w:hAnsi="Times New Roman" w:cs="Times New Roman"/>
          <w:lang w:val="en-US"/>
        </w:rPr>
        <w:lastRenderedPageBreak/>
        <w:t>The ternary symbolism of family relationships is even found in divine relationships, in the Greek mythology, between Kronos and Zeus replaced by a swaddled stone; in the Hebrew world, between God and Isaac replaced by a sheep, a precursor of a revolution in the relational triangle.</w:t>
      </w:r>
    </w:p>
    <w:p w14:paraId="6EB7EE75" w14:textId="77777777" w:rsidR="00A60D8D" w:rsidRPr="0076252D" w:rsidRDefault="00A60D8D" w:rsidP="00A60D8D">
      <w:pPr>
        <w:spacing w:before="120" w:after="120"/>
        <w:jc w:val="both"/>
        <w:rPr>
          <w:rFonts w:ascii="Times New Roman" w:hAnsi="Times New Roman" w:cs="Times New Roman"/>
          <w:b/>
          <w:bCs/>
          <w:i/>
          <w:iCs/>
          <w:sz w:val="28"/>
          <w:szCs w:val="28"/>
          <w:lang w:val="en-US"/>
        </w:rPr>
      </w:pPr>
      <w:r w:rsidRPr="0076252D">
        <w:rPr>
          <w:rFonts w:ascii="Times New Roman" w:hAnsi="Times New Roman" w:cs="Times New Roman"/>
          <w:b/>
          <w:bCs/>
          <w:i/>
          <w:iCs/>
          <w:sz w:val="28"/>
          <w:szCs w:val="28"/>
          <w:lang w:val="en-US"/>
        </w:rPr>
        <w:t>*Exchanges in a societal vision: "Gesellshaft”</w:t>
      </w:r>
    </w:p>
    <w:p w14:paraId="2143EC6D" w14:textId="77777777" w:rsidR="00A60D8D" w:rsidRPr="0076252D" w:rsidRDefault="00A60D8D" w:rsidP="00A60D8D">
      <w:pPr>
        <w:spacing w:before="120" w:after="120"/>
        <w:jc w:val="both"/>
        <w:rPr>
          <w:rFonts w:ascii="Times New Roman" w:hAnsi="Times New Roman" w:cs="Times New Roman"/>
          <w:lang w:val="en-US"/>
        </w:rPr>
      </w:pPr>
      <w:r w:rsidRPr="0076252D">
        <w:rPr>
          <w:rFonts w:ascii="Times New Roman" w:hAnsi="Times New Roman" w:cs="Times New Roman"/>
          <w:lang w:val="en-US"/>
        </w:rPr>
        <w:t>It was in Christianity that the “</w:t>
      </w:r>
      <w:r w:rsidRPr="0076252D">
        <w:rPr>
          <w:rFonts w:ascii="Times New Roman" w:hAnsi="Times New Roman" w:cs="Times New Roman"/>
          <w:i/>
          <w:iCs/>
          <w:lang w:val="en-US"/>
        </w:rPr>
        <w:t>nuclear family”</w:t>
      </w:r>
      <w:r w:rsidRPr="0076252D">
        <w:rPr>
          <w:rFonts w:ascii="Times New Roman" w:hAnsi="Times New Roman" w:cs="Times New Roman"/>
          <w:lang w:val="en-US"/>
        </w:rPr>
        <w:t xml:space="preserve"> appeared, composed of a father (husband), a wife (wife) and their children (in principle biological...) and always ritually established by a public and/or sacred word, replacing the </w:t>
      </w:r>
      <w:r w:rsidRPr="0076252D">
        <w:rPr>
          <w:rFonts w:ascii="Times New Roman" w:hAnsi="Times New Roman" w:cs="Times New Roman"/>
          <w:i/>
          <w:iCs/>
          <w:lang w:val="en-US"/>
        </w:rPr>
        <w:t>"kinship atom"</w:t>
      </w:r>
      <w:r w:rsidRPr="0076252D">
        <w:rPr>
          <w:rFonts w:ascii="Times New Roman" w:hAnsi="Times New Roman" w:cs="Times New Roman"/>
          <w:lang w:val="en-US"/>
        </w:rPr>
        <w:t xml:space="preserve"> highlighted by Lévi-Strauss. Baptism embodies this transformation where the individual can then exist as a self, </w:t>
      </w:r>
      <w:proofErr w:type="gramStart"/>
      <w:r w:rsidRPr="0076252D">
        <w:rPr>
          <w:rFonts w:ascii="Times New Roman" w:hAnsi="Times New Roman" w:cs="Times New Roman"/>
          <w:lang w:val="en-US"/>
        </w:rPr>
        <w:t>creature</w:t>
      </w:r>
      <w:proofErr w:type="gramEnd"/>
      <w:r w:rsidRPr="0076252D">
        <w:rPr>
          <w:rFonts w:ascii="Times New Roman" w:hAnsi="Times New Roman" w:cs="Times New Roman"/>
          <w:lang w:val="en-US"/>
        </w:rPr>
        <w:t xml:space="preserve"> and “son” of God. It was in the 18th century that Europe consolidated the status of “free” citizens, less dependent on their group, with considerable consequences: people will be more likely to think in terms of competition and equality than in terms of reciprocity, </w:t>
      </w:r>
      <w:proofErr w:type="gramStart"/>
      <w:r w:rsidRPr="0076252D">
        <w:rPr>
          <w:rFonts w:ascii="Times New Roman" w:hAnsi="Times New Roman" w:cs="Times New Roman"/>
          <w:lang w:val="en-US"/>
        </w:rPr>
        <w:t>bonding  and</w:t>
      </w:r>
      <w:proofErr w:type="gramEnd"/>
      <w:r w:rsidRPr="0076252D">
        <w:rPr>
          <w:rFonts w:ascii="Times New Roman" w:hAnsi="Times New Roman" w:cs="Times New Roman"/>
          <w:lang w:val="en-US"/>
        </w:rPr>
        <w:t xml:space="preserve"> fairness; it is no longer compulsory to return what one had received; a gift can even be negatively perceived ... as a debt or a mark of inferiority.</w:t>
      </w:r>
    </w:p>
    <w:p w14:paraId="45D1D70E" w14:textId="77777777" w:rsidR="00A60D8D" w:rsidRPr="0076252D" w:rsidRDefault="00A60D8D" w:rsidP="00A60D8D">
      <w:pPr>
        <w:spacing w:before="120" w:after="120"/>
        <w:jc w:val="both"/>
        <w:rPr>
          <w:rFonts w:ascii="Times New Roman" w:hAnsi="Times New Roman" w:cs="Times New Roman"/>
          <w:i/>
          <w:iCs/>
          <w:lang w:val="en-US"/>
        </w:rPr>
      </w:pPr>
      <w:r w:rsidRPr="0076252D">
        <w:rPr>
          <w:rFonts w:ascii="Times New Roman" w:hAnsi="Times New Roman" w:cs="Times New Roman"/>
          <w:lang w:val="en-US"/>
        </w:rPr>
        <w:t xml:space="preserve">This is what A. de Tocqueville observed, </w:t>
      </w:r>
      <w:r w:rsidRPr="0076252D">
        <w:rPr>
          <w:rFonts w:ascii="Times New Roman" w:hAnsi="Times New Roman" w:cs="Times New Roman"/>
          <w:i/>
          <w:iCs/>
          <w:lang w:val="en-US"/>
        </w:rPr>
        <w:t xml:space="preserve">"individualism is a reflective sentiment which disposes each citizen to isolate himself from the mass of his fellows in such a way that, after having created a small society for his own use, he willingly abandons the large society to itself...". </w:t>
      </w:r>
      <w:r w:rsidRPr="0076252D">
        <w:rPr>
          <w:rFonts w:ascii="Times New Roman" w:hAnsi="Times New Roman" w:cs="Times New Roman"/>
          <w:lang w:val="en-US"/>
        </w:rPr>
        <w:t xml:space="preserve">Neo-liberal economics further emphasises individual responsibility in any enterprise even for the constitution of common goods, with some pleasant nuances: </w:t>
      </w:r>
      <w:r w:rsidRPr="0076252D">
        <w:rPr>
          <w:rFonts w:ascii="Times New Roman" w:hAnsi="Times New Roman" w:cs="Times New Roman"/>
          <w:i/>
          <w:iCs/>
          <w:lang w:val="en-US"/>
        </w:rPr>
        <w:t>"... at the head of a new enterprise, you see, in France, the government; in England, a great lord, ... in the United States, an association...".</w:t>
      </w:r>
    </w:p>
    <w:p w14:paraId="1E341C8A" w14:textId="77777777" w:rsidR="00A60D8D" w:rsidRPr="0076252D" w:rsidRDefault="00A60D8D" w:rsidP="00A60D8D">
      <w:pPr>
        <w:spacing w:before="120" w:after="120"/>
        <w:jc w:val="both"/>
        <w:rPr>
          <w:rFonts w:ascii="Times New Roman" w:hAnsi="Times New Roman" w:cs="Times New Roman"/>
          <w:lang w:val="en-US"/>
        </w:rPr>
      </w:pPr>
      <w:r w:rsidRPr="0076252D">
        <w:rPr>
          <w:rFonts w:ascii="Times New Roman" w:hAnsi="Times New Roman" w:cs="Times New Roman"/>
          <w:lang w:val="en-US"/>
        </w:rPr>
        <w:t xml:space="preserve">This individualism is clearly correlated with an idealisation of economic growth and a required acceptance of growing social inequality against egalitarian values.  It also mirrors the weakening of reciprocal triangular relationships, religious </w:t>
      </w:r>
      <w:proofErr w:type="gramStart"/>
      <w:r w:rsidRPr="0076252D">
        <w:rPr>
          <w:rFonts w:ascii="Times New Roman" w:hAnsi="Times New Roman" w:cs="Times New Roman"/>
          <w:lang w:val="en-US"/>
        </w:rPr>
        <w:t>beliefs</w:t>
      </w:r>
      <w:proofErr w:type="gramEnd"/>
      <w:r w:rsidRPr="0076252D">
        <w:rPr>
          <w:rFonts w:ascii="Times New Roman" w:hAnsi="Times New Roman" w:cs="Times New Roman"/>
          <w:lang w:val="en-US"/>
        </w:rPr>
        <w:t xml:space="preserve"> and family networks.</w:t>
      </w:r>
    </w:p>
    <w:p w14:paraId="5037958D" w14:textId="77777777" w:rsidR="00A60D8D" w:rsidRPr="0076252D" w:rsidRDefault="00A60D8D" w:rsidP="00A60D8D">
      <w:pPr>
        <w:spacing w:before="120" w:after="120"/>
        <w:jc w:val="both"/>
        <w:rPr>
          <w:rFonts w:ascii="Times New Roman" w:hAnsi="Times New Roman" w:cs="Times New Roman"/>
          <w:lang w:val="en-US"/>
        </w:rPr>
      </w:pPr>
      <w:r w:rsidRPr="0076252D">
        <w:rPr>
          <w:rFonts w:ascii="Times New Roman" w:hAnsi="Times New Roman" w:cs="Times New Roman"/>
          <w:lang w:val="en-US"/>
        </w:rPr>
        <w:t xml:space="preserve">The Chinese translation of "relationship" as "Guanxi" </w:t>
      </w:r>
      <w:r w:rsidRPr="0076252D">
        <w:rPr>
          <w:rFonts w:ascii="Times New Roman" w:eastAsia="MS Gothic" w:hAnsi="Times New Roman" w:cs="Times New Roman"/>
        </w:rPr>
        <w:t>关系网</w:t>
      </w:r>
      <w:r w:rsidRPr="0076252D">
        <w:rPr>
          <w:rFonts w:ascii="Times New Roman" w:hAnsi="Times New Roman" w:cs="Times New Roman"/>
          <w:lang w:val="en-US"/>
        </w:rPr>
        <w:t xml:space="preserve"> would confirm this evolution at least within professional networks among which preferential treatment between partners can be established with reciprocal exchanges as soon as an opportunity arises. However, specificities of the relation inside a European company should be underlined:  building an extended network would, for example, be a more key objective than making a personal “career” and it would be unethical for the network to benefit individuals at the expense of the group or the community.</w:t>
      </w:r>
    </w:p>
    <w:p w14:paraId="7F711DA2" w14:textId="77777777" w:rsidR="00A60D8D" w:rsidRPr="0076252D" w:rsidRDefault="00A60D8D" w:rsidP="00A60D8D">
      <w:pPr>
        <w:spacing w:before="120" w:after="120"/>
        <w:jc w:val="both"/>
        <w:rPr>
          <w:rFonts w:ascii="Times New Roman" w:hAnsi="Times New Roman" w:cs="Times New Roman"/>
          <w:lang w:val="en-US"/>
        </w:rPr>
      </w:pPr>
      <w:r w:rsidRPr="0076252D">
        <w:rPr>
          <w:rFonts w:ascii="Times New Roman" w:hAnsi="Times New Roman" w:cs="Times New Roman"/>
          <w:lang w:val="en-US"/>
        </w:rPr>
        <w:t>The professional network would, in a sense, fill the void left by the decline of the traditional large family networks in favour of the urban nuclear family.</w:t>
      </w:r>
    </w:p>
    <w:p w14:paraId="318AC0C5" w14:textId="77777777" w:rsidR="00A60D8D" w:rsidRPr="0076252D" w:rsidRDefault="00A60D8D" w:rsidP="00A60D8D">
      <w:pPr>
        <w:spacing w:before="120" w:after="120"/>
        <w:jc w:val="center"/>
        <w:rPr>
          <w:rFonts w:ascii="Times New Roman" w:hAnsi="Times New Roman" w:cs="Times New Roman"/>
          <w:lang w:val="en-US"/>
        </w:rPr>
      </w:pPr>
      <w:r w:rsidRPr="0076252D">
        <w:rPr>
          <w:rFonts w:ascii="Times New Roman" w:hAnsi="Times New Roman" w:cs="Times New Roman"/>
          <w:lang w:val="en-US"/>
        </w:rPr>
        <w:t>*.     *.     *</w:t>
      </w:r>
    </w:p>
    <w:p w14:paraId="33121537" w14:textId="77777777" w:rsidR="00A60D8D" w:rsidRPr="0076252D" w:rsidRDefault="00A60D8D" w:rsidP="00A60D8D">
      <w:pPr>
        <w:spacing w:before="120" w:after="120"/>
        <w:jc w:val="both"/>
        <w:rPr>
          <w:rFonts w:ascii="Times New Roman" w:hAnsi="Times New Roman" w:cs="Times New Roman"/>
          <w:i/>
          <w:iCs/>
          <w:lang w:val="en-US"/>
        </w:rPr>
      </w:pPr>
      <w:r w:rsidRPr="0076252D">
        <w:rPr>
          <w:rFonts w:ascii="Times New Roman" w:hAnsi="Times New Roman" w:cs="Times New Roman"/>
          <w:lang w:val="en-US"/>
        </w:rPr>
        <w:t xml:space="preserve">In Latin </w:t>
      </w:r>
      <w:r w:rsidRPr="0076252D">
        <w:rPr>
          <w:rFonts w:ascii="Times New Roman" w:hAnsi="Times New Roman" w:cs="Times New Roman"/>
          <w:i/>
          <w:iCs/>
          <w:lang w:val="en-US"/>
        </w:rPr>
        <w:t>homo</w:t>
      </w:r>
      <w:r w:rsidRPr="0076252D">
        <w:rPr>
          <w:rFonts w:ascii="Times New Roman" w:hAnsi="Times New Roman" w:cs="Times New Roman"/>
          <w:lang w:val="en-US"/>
        </w:rPr>
        <w:t xml:space="preserve">, with </w:t>
      </w:r>
      <w:r w:rsidRPr="0076252D">
        <w:rPr>
          <w:rFonts w:ascii="Times New Roman" w:hAnsi="Times New Roman" w:cs="Times New Roman"/>
          <w:i/>
          <w:iCs/>
          <w:lang w:val="en-US"/>
        </w:rPr>
        <w:t>man</w:t>
      </w:r>
      <w:r w:rsidRPr="0076252D">
        <w:rPr>
          <w:rFonts w:ascii="Times New Roman" w:hAnsi="Times New Roman" w:cs="Times New Roman"/>
          <w:lang w:val="en-US"/>
        </w:rPr>
        <w:t xml:space="preserve"> in English and </w:t>
      </w:r>
      <w:r w:rsidRPr="0076252D">
        <w:rPr>
          <w:rFonts w:ascii="Times New Roman" w:hAnsi="Times New Roman" w:cs="Times New Roman"/>
          <w:i/>
          <w:iCs/>
          <w:lang w:val="en-US"/>
        </w:rPr>
        <w:t>Mensh</w:t>
      </w:r>
      <w:r w:rsidRPr="0076252D">
        <w:rPr>
          <w:rFonts w:ascii="Times New Roman" w:hAnsi="Times New Roman" w:cs="Times New Roman"/>
          <w:lang w:val="en-US"/>
        </w:rPr>
        <w:t xml:space="preserve"> in German, </w:t>
      </w:r>
      <w:r w:rsidRPr="0076252D">
        <w:rPr>
          <w:rFonts w:ascii="Times New Roman" w:hAnsi="Times New Roman" w:cs="Times New Roman"/>
          <w:i/>
          <w:iCs/>
          <w:lang w:val="en-US"/>
        </w:rPr>
        <w:t>mental</w:t>
      </w:r>
      <w:r w:rsidRPr="0076252D">
        <w:rPr>
          <w:rFonts w:ascii="Times New Roman" w:hAnsi="Times New Roman" w:cs="Times New Roman"/>
          <w:lang w:val="en-US"/>
        </w:rPr>
        <w:t xml:space="preserve"> in French, we find the Indo-European root </w:t>
      </w:r>
      <w:r w:rsidRPr="0076252D">
        <w:rPr>
          <w:rFonts w:ascii="Times New Roman" w:hAnsi="Times New Roman" w:cs="Times New Roman"/>
          <w:i/>
          <w:iCs/>
          <w:lang w:val="en-US"/>
        </w:rPr>
        <w:t xml:space="preserve">men, </w:t>
      </w:r>
      <w:r w:rsidRPr="0076252D">
        <w:rPr>
          <w:rFonts w:ascii="Times New Roman" w:hAnsi="Times New Roman" w:cs="Times New Roman"/>
          <w:lang w:val="en-US"/>
        </w:rPr>
        <w:t>which</w:t>
      </w:r>
      <w:r w:rsidRPr="0076252D">
        <w:rPr>
          <w:rFonts w:ascii="Times New Roman" w:hAnsi="Times New Roman" w:cs="Times New Roman"/>
          <w:i/>
          <w:iCs/>
          <w:lang w:val="en-US"/>
        </w:rPr>
        <w:t xml:space="preserve"> </w:t>
      </w:r>
      <w:r w:rsidRPr="0076252D">
        <w:rPr>
          <w:rFonts w:ascii="Times New Roman" w:hAnsi="Times New Roman" w:cs="Times New Roman"/>
          <w:lang w:val="en-US"/>
        </w:rPr>
        <w:t>is also related to the Hebrew</w:t>
      </w:r>
      <w:r w:rsidRPr="0076252D">
        <w:rPr>
          <w:rFonts w:ascii="Times New Roman" w:hAnsi="Times New Roman" w:cs="Times New Roman"/>
          <w:i/>
          <w:iCs/>
          <w:lang w:val="en-US"/>
        </w:rPr>
        <w:t xml:space="preserve"> humus, </w:t>
      </w:r>
      <w:r w:rsidRPr="0076252D">
        <w:rPr>
          <w:rFonts w:ascii="Times New Roman" w:hAnsi="Times New Roman" w:cs="Times New Roman"/>
          <w:lang w:val="en-US"/>
        </w:rPr>
        <w:t>the earth.</w:t>
      </w:r>
    </w:p>
    <w:p w14:paraId="316EBC67" w14:textId="37D5FF50" w:rsidR="0016380B" w:rsidRPr="00A60D8D" w:rsidRDefault="00A60D8D" w:rsidP="00A60D8D">
      <w:pPr>
        <w:spacing w:before="120" w:after="120"/>
        <w:jc w:val="both"/>
        <w:rPr>
          <w:rFonts w:ascii="Times New Roman" w:hAnsi="Times New Roman" w:cs="Times New Roman"/>
          <w:i/>
          <w:iCs/>
          <w:lang w:val="en-US"/>
        </w:rPr>
      </w:pPr>
      <w:r w:rsidRPr="0076252D">
        <w:rPr>
          <w:rFonts w:ascii="Times New Roman" w:hAnsi="Times New Roman" w:cs="Times New Roman"/>
          <w:lang w:val="en-US"/>
        </w:rPr>
        <w:t>If Man is thus considered to be endowed with an earthly and mental nature, he belongs to a specific culture where the "person" is woven by perennial, reciprocal relationships or remains free in the choice of his relations within a minimum of external constraints whether required by law or agreed ethics and morals.</w:t>
      </w:r>
    </w:p>
    <w:sectPr w:rsidR="0016380B" w:rsidRPr="00A60D8D" w:rsidSect="002753A8">
      <w:headerReference w:type="even" r:id="rId6"/>
      <w:pgSz w:w="11900" w:h="16840"/>
      <w:pgMar w:top="1418" w:right="1418" w:bottom="1418" w:left="1418" w:header="567" w:footer="567"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5CC77" w14:textId="77777777" w:rsidR="00D82B1E" w:rsidRDefault="00D82B1E" w:rsidP="00A60D8D">
      <w:r>
        <w:separator/>
      </w:r>
    </w:p>
  </w:endnote>
  <w:endnote w:type="continuationSeparator" w:id="0">
    <w:p w14:paraId="646CF04C" w14:textId="77777777" w:rsidR="00D82B1E" w:rsidRDefault="00D82B1E" w:rsidP="00A60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ongti TC">
    <w:panose1 w:val="02010600040101010101"/>
    <w:charset w:val="88"/>
    <w:family w:val="auto"/>
    <w:pitch w:val="variable"/>
    <w:sig w:usb0="00000287" w:usb1="080F0000" w:usb2="00000010" w:usb3="00000000" w:csb0="0014009F" w:csb1="00000000"/>
  </w:font>
  <w:font w:name="Microsoft YaHei">
    <w:panose1 w:val="020B0503020204020204"/>
    <w:charset w:val="86"/>
    <w:family w:val="swiss"/>
    <w:pitch w:val="variable"/>
    <w:sig w:usb0="8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68CA9" w14:textId="77777777" w:rsidR="00D82B1E" w:rsidRDefault="00D82B1E" w:rsidP="00A60D8D">
      <w:r>
        <w:separator/>
      </w:r>
    </w:p>
  </w:footnote>
  <w:footnote w:type="continuationSeparator" w:id="0">
    <w:p w14:paraId="51673CE0" w14:textId="77777777" w:rsidR="00D82B1E" w:rsidRDefault="00D82B1E" w:rsidP="00A60D8D">
      <w:r>
        <w:continuationSeparator/>
      </w:r>
    </w:p>
  </w:footnote>
  <w:footnote w:id="1">
    <w:p w14:paraId="13F2E1CF" w14:textId="77777777" w:rsidR="00A60D8D" w:rsidRPr="002D02C7" w:rsidRDefault="00A60D8D" w:rsidP="00A60D8D">
      <w:pPr>
        <w:pStyle w:val="Funotentext"/>
        <w:jc w:val="both"/>
        <w:rPr>
          <w:rFonts w:ascii="Times New Roman" w:hAnsi="Times New Roman" w:cs="Times New Roman"/>
          <w:sz w:val="18"/>
          <w:szCs w:val="18"/>
          <w:lang w:val="en-US"/>
        </w:rPr>
      </w:pPr>
      <w:r w:rsidRPr="002D02C7">
        <w:rPr>
          <w:rStyle w:val="Funotenzeichen"/>
          <w:rFonts w:ascii="Times New Roman" w:hAnsi="Times New Roman" w:cs="Times New Roman"/>
          <w:sz w:val="18"/>
          <w:szCs w:val="18"/>
        </w:rPr>
        <w:footnoteRef/>
      </w:r>
      <w:r w:rsidRPr="002D02C7">
        <w:rPr>
          <w:rFonts w:ascii="Times New Roman" w:hAnsi="Times New Roman" w:cs="Times New Roman"/>
          <w:sz w:val="18"/>
          <w:szCs w:val="18"/>
          <w:lang w:val="en-US"/>
        </w:rPr>
        <w:t xml:space="preserve"> Relationships between concepts (metonymy), between a Whole (symbolic) and parts (synecdote), between mathematical or physical equivalences (between matter and energy, through the mediation of light, ....) nor relationships between proven facts (historical or contingent). As well the verb “</w:t>
      </w:r>
      <w:r w:rsidRPr="002D02C7">
        <w:rPr>
          <w:rFonts w:ascii="Times New Roman" w:hAnsi="Times New Roman" w:cs="Times New Roman"/>
          <w:i/>
          <w:iCs/>
          <w:sz w:val="18"/>
          <w:szCs w:val="18"/>
          <w:lang w:val="en-US"/>
        </w:rPr>
        <w:t>to relate”</w:t>
      </w:r>
      <w:r w:rsidRPr="002D02C7">
        <w:rPr>
          <w:rFonts w:ascii="Times New Roman" w:hAnsi="Times New Roman" w:cs="Times New Roman"/>
          <w:sz w:val="18"/>
          <w:szCs w:val="18"/>
          <w:lang w:val="en-US"/>
        </w:rPr>
        <w:t>, which tells a story, recalling significant events that carry a "truth" for the foundation of an identity.</w:t>
      </w:r>
    </w:p>
  </w:footnote>
  <w:footnote w:id="2">
    <w:p w14:paraId="67CD767F" w14:textId="77777777" w:rsidR="00A60D8D" w:rsidRPr="002D02C7" w:rsidRDefault="00A60D8D" w:rsidP="00A60D8D">
      <w:pPr>
        <w:pStyle w:val="Funotentext"/>
        <w:jc w:val="both"/>
        <w:rPr>
          <w:rFonts w:ascii="Times New Roman" w:hAnsi="Times New Roman" w:cs="Times New Roman"/>
          <w:sz w:val="18"/>
          <w:szCs w:val="18"/>
          <w:lang w:val="en-US"/>
        </w:rPr>
      </w:pPr>
      <w:r w:rsidRPr="002D02C7">
        <w:rPr>
          <w:rStyle w:val="Funotenzeichen"/>
          <w:rFonts w:ascii="Times New Roman" w:hAnsi="Times New Roman" w:cs="Times New Roman"/>
          <w:sz w:val="18"/>
          <w:szCs w:val="18"/>
        </w:rPr>
        <w:footnoteRef/>
      </w:r>
      <w:r w:rsidRPr="002D02C7">
        <w:rPr>
          <w:rFonts w:ascii="Times New Roman" w:hAnsi="Times New Roman" w:cs="Times New Roman"/>
          <w:sz w:val="18"/>
          <w:szCs w:val="18"/>
          <w:lang w:val="en-US"/>
        </w:rPr>
        <w:t xml:space="preserve"> A. Kojeve proposes four basic types of authority relationships: that of the master over the servant or slave, that of the military leader or teacher over the pupil, that of the judge over the petitioners, and that of the father or parents over the child.</w:t>
      </w:r>
    </w:p>
  </w:footnote>
  <w:footnote w:id="3">
    <w:p w14:paraId="5047DE19" w14:textId="77777777" w:rsidR="00A60D8D" w:rsidRPr="002D02C7" w:rsidRDefault="00A60D8D" w:rsidP="00A60D8D">
      <w:pPr>
        <w:pStyle w:val="Funotentext"/>
        <w:jc w:val="both"/>
        <w:rPr>
          <w:rFonts w:ascii="Times New Roman" w:hAnsi="Times New Roman" w:cs="Times New Roman"/>
          <w:sz w:val="18"/>
          <w:szCs w:val="18"/>
          <w:lang w:val="en-US"/>
        </w:rPr>
      </w:pPr>
      <w:r w:rsidRPr="002D02C7">
        <w:rPr>
          <w:rStyle w:val="Funotenzeichen"/>
          <w:rFonts w:ascii="Times New Roman" w:hAnsi="Times New Roman" w:cs="Times New Roman"/>
          <w:sz w:val="18"/>
          <w:szCs w:val="18"/>
        </w:rPr>
        <w:footnoteRef/>
      </w:r>
      <w:r w:rsidRPr="002D02C7">
        <w:rPr>
          <w:rFonts w:ascii="Times New Roman" w:hAnsi="Times New Roman" w:cs="Times New Roman"/>
          <w:sz w:val="18"/>
          <w:szCs w:val="18"/>
          <w:lang w:val="en-US"/>
        </w:rPr>
        <w:t xml:space="preserve"> The exchange can be deported inside the lineage to preserve its unity: among the Bedik, for example, two brothers must exchange their daughters before marrying them off to a relation of their wife.</w:t>
      </w:r>
    </w:p>
  </w:footnote>
  <w:footnote w:id="4">
    <w:p w14:paraId="70203780" w14:textId="77777777" w:rsidR="00A60D8D" w:rsidRPr="002D02C7" w:rsidRDefault="00A60D8D" w:rsidP="00A60D8D">
      <w:pPr>
        <w:pStyle w:val="Funotentext"/>
        <w:jc w:val="both"/>
        <w:rPr>
          <w:rFonts w:ascii="Times New Roman" w:hAnsi="Times New Roman" w:cs="Times New Roman"/>
          <w:sz w:val="18"/>
          <w:szCs w:val="18"/>
          <w:lang w:val="en-US"/>
        </w:rPr>
      </w:pPr>
      <w:r w:rsidRPr="002D02C7">
        <w:rPr>
          <w:rStyle w:val="Funotenzeichen"/>
          <w:rFonts w:ascii="Times New Roman" w:hAnsi="Times New Roman" w:cs="Times New Roman"/>
          <w:sz w:val="18"/>
          <w:szCs w:val="18"/>
        </w:rPr>
        <w:footnoteRef/>
      </w:r>
      <w:r w:rsidRPr="002D02C7">
        <w:rPr>
          <w:rFonts w:ascii="Times New Roman" w:hAnsi="Times New Roman" w:cs="Times New Roman"/>
          <w:sz w:val="18"/>
          <w:szCs w:val="18"/>
          <w:lang w:val="en-US"/>
        </w:rPr>
        <w:t xml:space="preserve"> The mother's “sister” is a “mother” and the father's “brother” is a “father” (patruus) (elder or younger), generally in opposition to maternal uncles (avunculus); the “cousin” is an elder or younger “brother”.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671209882"/>
      <w:docPartObj>
        <w:docPartGallery w:val="Page Numbers (Top of Page)"/>
        <w:docPartUnique/>
      </w:docPartObj>
    </w:sdtPr>
    <w:sdtEndPr>
      <w:rPr>
        <w:rStyle w:val="Seitenzahl"/>
      </w:rPr>
    </w:sdtEndPr>
    <w:sdtContent>
      <w:p w14:paraId="3499F840" w14:textId="77777777" w:rsidR="00D63057" w:rsidRDefault="00D82B1E" w:rsidP="001F058F">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1D577A2" w14:textId="77777777" w:rsidR="00D63057" w:rsidRDefault="00D82B1E" w:rsidP="00D63057">
    <w:pPr>
      <w:pStyle w:val="Kopfzeil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D8D"/>
    <w:rsid w:val="00123CCD"/>
    <w:rsid w:val="0016380B"/>
    <w:rsid w:val="00522780"/>
    <w:rsid w:val="006B4E66"/>
    <w:rsid w:val="009F447E"/>
    <w:rsid w:val="00A242A4"/>
    <w:rsid w:val="00A60D8D"/>
    <w:rsid w:val="00D82B1E"/>
    <w:rsid w:val="00DF7EB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3575148"/>
  <w15:chartTrackingRefBased/>
  <w15:docId w15:val="{59FBD1BF-BB71-CA4E-9E93-A609B69F2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D8D"/>
    <w:rPr>
      <w:rFonts w:eastAsiaTheme="minorHAnsi"/>
      <w:lang w:val="fr-FR"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0D8D"/>
    <w:pPr>
      <w:tabs>
        <w:tab w:val="center" w:pos="4536"/>
        <w:tab w:val="right" w:pos="9072"/>
      </w:tabs>
    </w:pPr>
  </w:style>
  <w:style w:type="character" w:customStyle="1" w:styleId="KopfzeileZchn">
    <w:name w:val="Kopfzeile Zchn"/>
    <w:basedOn w:val="Absatz-Standardschriftart"/>
    <w:link w:val="Kopfzeile"/>
    <w:uiPriority w:val="99"/>
    <w:rsid w:val="00A60D8D"/>
    <w:rPr>
      <w:rFonts w:eastAsiaTheme="minorHAnsi"/>
      <w:lang w:val="fr-FR" w:eastAsia="en-US"/>
    </w:rPr>
  </w:style>
  <w:style w:type="character" w:styleId="Seitenzahl">
    <w:name w:val="page number"/>
    <w:basedOn w:val="Absatz-Standardschriftart"/>
    <w:uiPriority w:val="99"/>
    <w:semiHidden/>
    <w:unhideWhenUsed/>
    <w:rsid w:val="00A60D8D"/>
  </w:style>
  <w:style w:type="paragraph" w:styleId="Funotentext">
    <w:name w:val="footnote text"/>
    <w:basedOn w:val="Standard"/>
    <w:link w:val="FunotentextZchn"/>
    <w:uiPriority w:val="99"/>
    <w:semiHidden/>
    <w:unhideWhenUsed/>
    <w:rsid w:val="00A60D8D"/>
    <w:rPr>
      <w:sz w:val="20"/>
      <w:szCs w:val="20"/>
    </w:rPr>
  </w:style>
  <w:style w:type="character" w:customStyle="1" w:styleId="FunotentextZchn">
    <w:name w:val="Fußnotentext Zchn"/>
    <w:basedOn w:val="Absatz-Standardschriftart"/>
    <w:link w:val="Funotentext"/>
    <w:uiPriority w:val="99"/>
    <w:semiHidden/>
    <w:rsid w:val="00A60D8D"/>
    <w:rPr>
      <w:rFonts w:eastAsiaTheme="minorHAnsi"/>
      <w:sz w:val="20"/>
      <w:szCs w:val="20"/>
      <w:lang w:val="fr-FR" w:eastAsia="en-US"/>
    </w:rPr>
  </w:style>
  <w:style w:type="character" w:styleId="Funotenzeichen">
    <w:name w:val="footnote reference"/>
    <w:basedOn w:val="Absatz-Standardschriftart"/>
    <w:uiPriority w:val="99"/>
    <w:semiHidden/>
    <w:unhideWhenUsed/>
    <w:rsid w:val="00A60D8D"/>
    <w:rPr>
      <w:vertAlign w:val="superscript"/>
    </w:rPr>
  </w:style>
  <w:style w:type="character" w:styleId="Zeilennummer">
    <w:name w:val="line number"/>
    <w:basedOn w:val="Absatz-Standardschriftart"/>
    <w:uiPriority w:val="99"/>
    <w:semiHidden/>
    <w:unhideWhenUsed/>
    <w:rsid w:val="00A60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1360</Words>
  <Characters>8575</Characters>
  <Application>Microsoft Office Word</Application>
  <DocSecurity>0</DocSecurity>
  <Lines>71</Lines>
  <Paragraphs>19</Paragraphs>
  <ScaleCrop>false</ScaleCrop>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Liu</dc:creator>
  <cp:keywords/>
  <dc:description/>
  <cp:lastModifiedBy>Frederic Liu</cp:lastModifiedBy>
  <cp:revision>1</cp:revision>
  <dcterms:created xsi:type="dcterms:W3CDTF">2022-04-25T16:56:00Z</dcterms:created>
  <dcterms:modified xsi:type="dcterms:W3CDTF">2022-04-25T16:57:00Z</dcterms:modified>
</cp:coreProperties>
</file>