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D62C" w14:textId="77777777" w:rsidR="00B5696A" w:rsidRPr="008E4626" w:rsidRDefault="00B5696A" w:rsidP="00B5696A">
      <w:pPr>
        <w:shd w:val="clear" w:color="auto" w:fill="FFFFFF"/>
        <w:spacing w:before="120" w:after="120"/>
        <w:jc w:val="center"/>
        <w:outlineLvl w:val="1"/>
        <w:rPr>
          <w:rFonts w:eastAsia="Times New Roman"/>
          <w:b/>
          <w:bCs/>
          <w:color w:val="000000" w:themeColor="text1"/>
          <w:sz w:val="32"/>
          <w:szCs w:val="32"/>
        </w:rPr>
      </w:pPr>
      <w:r>
        <w:rPr>
          <w:rFonts w:eastAsia="Times New Roman"/>
          <w:b/>
          <w:bCs/>
          <w:color w:val="000000" w:themeColor="text1"/>
          <w:sz w:val="32"/>
          <w:szCs w:val="32"/>
          <w:lang w:eastAsia="en-GB"/>
        </w:rPr>
        <w:t>h</w:t>
      </w:r>
      <w:r w:rsidRPr="008E4626">
        <w:rPr>
          <w:rFonts w:eastAsia="Times New Roman"/>
          <w:b/>
          <w:bCs/>
          <w:color w:val="000000" w:themeColor="text1"/>
          <w:sz w:val="32"/>
          <w:szCs w:val="32"/>
          <w:lang w:eastAsia="en-GB"/>
        </w:rPr>
        <w:t>istory/</w:t>
      </w:r>
      <w:r w:rsidRPr="00024A65">
        <w:rPr>
          <w:rFonts w:ascii="Songti TC" w:eastAsia="Songti TC" w:hAnsi="Songti TC"/>
          <w:b/>
          <w:bCs/>
          <w:color w:val="000000" w:themeColor="text1"/>
          <w:sz w:val="32"/>
          <w:szCs w:val="32"/>
        </w:rPr>
        <w:t>历史</w:t>
      </w:r>
      <w:r w:rsidRPr="008E4626">
        <w:rPr>
          <w:b/>
          <w:bCs/>
          <w:color w:val="000000" w:themeColor="text1"/>
          <w:sz w:val="32"/>
          <w:szCs w:val="32"/>
        </w:rPr>
        <w:t>(Lì Shǐ)</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3009"/>
        <w:gridCol w:w="3007"/>
      </w:tblGrid>
      <w:tr w:rsidR="00B5696A" w14:paraId="0BA74A38" w14:textId="77777777" w:rsidTr="00F90CB9">
        <w:trPr>
          <w:jc w:val="center"/>
        </w:trPr>
        <w:tc>
          <w:tcPr>
            <w:tcW w:w="3020" w:type="dxa"/>
          </w:tcPr>
          <w:p w14:paraId="00404389" w14:textId="77777777" w:rsidR="00B5696A" w:rsidRPr="00ED4DE0" w:rsidRDefault="00B5696A" w:rsidP="00F90CB9">
            <w:pPr>
              <w:jc w:val="center"/>
              <w:rPr>
                <w:rFonts w:ascii="Times New Roman" w:hAnsi="Times New Roman" w:cs="Times New Roman"/>
              </w:rPr>
            </w:pPr>
            <w:bookmarkStart w:id="0" w:name="OLE_LINK7"/>
            <w:bookmarkStart w:id="1" w:name="OLE_LINK8"/>
            <w:bookmarkStart w:id="2" w:name="OLE_LINK9"/>
            <w:r w:rsidRPr="001E0C0B">
              <w:rPr>
                <w:rFonts w:ascii="Times New Roman" w:hAnsi="Times New Roman" w:cs="Times New Roman"/>
              </w:rPr>
              <w:t>European Perspective</w:t>
            </w:r>
          </w:p>
        </w:tc>
        <w:tc>
          <w:tcPr>
            <w:tcW w:w="3021" w:type="dxa"/>
          </w:tcPr>
          <w:p w14:paraId="3C6B8176" w14:textId="77777777" w:rsidR="00B5696A" w:rsidRPr="00ED4DE0" w:rsidRDefault="00B5696A" w:rsidP="00F90CB9">
            <w:pPr>
              <w:jc w:val="center"/>
              <w:rPr>
                <w:rFonts w:ascii="Times New Roman" w:hAnsi="Times New Roman" w:cs="Times New Roman"/>
              </w:rPr>
            </w:pPr>
            <w:r w:rsidRPr="00ED4DE0">
              <w:rPr>
                <w:rFonts w:ascii="Times New Roman" w:hAnsi="Times New Roman" w:cs="Times New Roman"/>
              </w:rPr>
              <w:t>François Hartog</w:t>
            </w:r>
          </w:p>
        </w:tc>
        <w:tc>
          <w:tcPr>
            <w:tcW w:w="3021" w:type="dxa"/>
          </w:tcPr>
          <w:p w14:paraId="03526988" w14:textId="29E599D1" w:rsidR="00B5696A" w:rsidRPr="00ED4DE0" w:rsidRDefault="00B5696A" w:rsidP="00F90CB9">
            <w:pPr>
              <w:jc w:val="center"/>
              <w:rPr>
                <w:rFonts w:ascii="Times New Roman" w:hAnsi="Times New Roman" w:cs="Times New Roman"/>
              </w:rPr>
            </w:pPr>
            <w:r>
              <w:rPr>
                <w:rFonts w:ascii="Times New Roman" w:hAnsi="Times New Roman" w:cs="Times New Roman"/>
              </w:rPr>
              <w:t>27 May</w:t>
            </w:r>
            <w:r>
              <w:rPr>
                <w:rFonts w:ascii="Times New Roman" w:hAnsi="Times New Roman" w:cs="Times New Roman"/>
              </w:rPr>
              <w:t xml:space="preserve"> 2022</w:t>
            </w:r>
          </w:p>
        </w:tc>
      </w:tr>
    </w:tbl>
    <w:bookmarkEnd w:id="0"/>
    <w:bookmarkEnd w:id="1"/>
    <w:bookmarkEnd w:id="2"/>
    <w:p w14:paraId="305E58FF" w14:textId="41AD223B" w:rsidR="003C75B3" w:rsidRPr="00C26D4D" w:rsidRDefault="00BA502A" w:rsidP="00BA502A">
      <w:pPr>
        <w:rPr>
          <w:rFonts w:eastAsia="Songti TC"/>
          <w:sz w:val="24"/>
          <w:szCs w:val="24"/>
        </w:rPr>
      </w:pPr>
      <w:r w:rsidRPr="009E707A">
        <w:rPr>
          <w:rFonts w:eastAsia="Songti TC"/>
          <w:sz w:val="24"/>
          <w:szCs w:val="24"/>
        </w:rPr>
        <w:t>为了描绘出一个比较的框架，我将把这个简短的陈述集中在我称之为历史和历史书写问题上的最初选择。在西方文化中，古希腊通常被认为是一个有诸多开端的国家。希罗多德不是被称为</w:t>
      </w:r>
      <w:r w:rsidRPr="009E707A">
        <w:rPr>
          <w:rFonts w:eastAsia="Songti TC"/>
          <w:sz w:val="24"/>
          <w:szCs w:val="24"/>
        </w:rPr>
        <w:t>"</w:t>
      </w:r>
      <w:r w:rsidRPr="009E707A">
        <w:rPr>
          <w:rFonts w:eastAsia="Songti TC"/>
          <w:sz w:val="24"/>
          <w:szCs w:val="24"/>
        </w:rPr>
        <w:t>历史之父</w:t>
      </w:r>
      <w:r w:rsidRPr="009E707A">
        <w:rPr>
          <w:rFonts w:eastAsia="Songti TC"/>
          <w:sz w:val="24"/>
          <w:szCs w:val="24"/>
        </w:rPr>
        <w:t>"</w:t>
      </w:r>
      <w:r w:rsidRPr="009E707A">
        <w:rPr>
          <w:rFonts w:eastAsia="Songti TC"/>
          <w:sz w:val="24"/>
          <w:szCs w:val="24"/>
        </w:rPr>
        <w:t>吗？即使我们都知道，历史及其书写并非肇自希腊，而是在更远的东方，而且要早得多</w:t>
      </w:r>
      <w:r w:rsidR="00C26D4D">
        <w:rPr>
          <w:rStyle w:val="Funotenzeichen"/>
          <w:rFonts w:eastAsia="Songti TC"/>
          <w:sz w:val="24"/>
          <w:szCs w:val="24"/>
        </w:rPr>
        <w:footnoteReference w:id="1"/>
      </w:r>
      <w:r w:rsidRPr="009E707A">
        <w:rPr>
          <w:rFonts w:eastAsia="Songti TC"/>
          <w:sz w:val="24"/>
          <w:szCs w:val="24"/>
        </w:rPr>
        <w:t>。</w:t>
      </w:r>
    </w:p>
    <w:p w14:paraId="61A2290B" w14:textId="6B77EE47" w:rsidR="00BA502A" w:rsidRPr="00C26D4D" w:rsidRDefault="00BA502A" w:rsidP="00BA502A">
      <w:pPr>
        <w:rPr>
          <w:rFonts w:eastAsia="Songti TC"/>
          <w:sz w:val="24"/>
          <w:szCs w:val="24"/>
        </w:rPr>
      </w:pPr>
      <w:r w:rsidRPr="009E707A">
        <w:rPr>
          <w:rFonts w:eastAsia="Songti TC"/>
          <w:sz w:val="24"/>
          <w:szCs w:val="24"/>
        </w:rPr>
        <w:t>在连续性是如此重要的古埃及，王室名单可以追溯到公元前四千年末。埃及人自那时就开始在木板和象牙板上刻画象形文字；后来，他们在纸莎草纸上的汇编，成为</w:t>
      </w:r>
      <w:r w:rsidR="0011013F" w:rsidRPr="009E707A">
        <w:rPr>
          <w:rFonts w:eastAsia="Songti TC"/>
          <w:sz w:val="24"/>
          <w:szCs w:val="24"/>
        </w:rPr>
        <w:t>了</w:t>
      </w:r>
      <w:r w:rsidRPr="009E707A">
        <w:rPr>
          <w:rFonts w:eastAsia="Songti TC"/>
          <w:sz w:val="24"/>
          <w:szCs w:val="24"/>
        </w:rPr>
        <w:t>第一批年谱的起源。年谱记录了国王的重要事迹（或至少记录了当时所认为的重要事迹）。但是，埃及文明最突出的特点，也许是它的原地性（</w:t>
      </w:r>
      <w:r w:rsidRPr="009E707A">
        <w:rPr>
          <w:rFonts w:eastAsia="Songti TC"/>
          <w:sz w:val="24"/>
          <w:szCs w:val="24"/>
        </w:rPr>
        <w:t>autochtony</w:t>
      </w:r>
      <w:r w:rsidRPr="009E707A">
        <w:rPr>
          <w:rFonts w:eastAsia="Songti TC"/>
          <w:sz w:val="24"/>
          <w:szCs w:val="24"/>
        </w:rPr>
        <w:t>）（用希腊的概念而言）。就他们对过去的回顾而言，埃及人除了自己和众神之外，</w:t>
      </w:r>
      <w:r w:rsidR="007322AE" w:rsidRPr="009E707A">
        <w:rPr>
          <w:rFonts w:eastAsia="Songti TC"/>
          <w:sz w:val="24"/>
          <w:szCs w:val="24"/>
        </w:rPr>
        <w:t>眼中</w:t>
      </w:r>
      <w:r w:rsidRPr="009E707A">
        <w:rPr>
          <w:rFonts w:eastAsia="Songti TC"/>
          <w:sz w:val="24"/>
          <w:szCs w:val="24"/>
        </w:rPr>
        <w:t>看不到其他任何人。而且，众所周知，他们的纪念碑有一些独特之处：他们并非对过去感兴趣，而是表现出对永恒的渴望，这种永恒是物质的或石化的，这与希腊史诗及其对</w:t>
      </w:r>
      <w:r w:rsidRPr="009E707A">
        <w:rPr>
          <w:rFonts w:eastAsia="Songti TC"/>
          <w:sz w:val="24"/>
          <w:szCs w:val="24"/>
        </w:rPr>
        <w:t xml:space="preserve"> "</w:t>
      </w:r>
      <w:r w:rsidRPr="009E707A">
        <w:rPr>
          <w:rFonts w:eastAsia="Songti TC"/>
          <w:sz w:val="24"/>
          <w:szCs w:val="24"/>
        </w:rPr>
        <w:t>不朽的荣耀</w:t>
      </w:r>
      <w:r w:rsidRPr="009E707A">
        <w:rPr>
          <w:rFonts w:eastAsia="Songti TC"/>
          <w:sz w:val="24"/>
          <w:szCs w:val="24"/>
        </w:rPr>
        <w:t xml:space="preserve"> "</w:t>
      </w:r>
      <w:r w:rsidRPr="009E707A">
        <w:rPr>
          <w:rFonts w:eastAsia="Songti TC"/>
          <w:sz w:val="24"/>
          <w:szCs w:val="24"/>
        </w:rPr>
        <w:t>的赞美，产生了鲜明的对比</w:t>
      </w:r>
      <w:r w:rsidR="00C26D4D">
        <w:rPr>
          <w:rStyle w:val="Funotenzeichen"/>
          <w:rFonts w:eastAsia="Songti TC"/>
          <w:sz w:val="24"/>
          <w:szCs w:val="24"/>
        </w:rPr>
        <w:footnoteReference w:id="2"/>
      </w:r>
      <w:r w:rsidRPr="009E707A">
        <w:rPr>
          <w:rFonts w:eastAsia="Songti TC"/>
          <w:sz w:val="24"/>
          <w:szCs w:val="24"/>
        </w:rPr>
        <w:t>。</w:t>
      </w:r>
    </w:p>
    <w:p w14:paraId="590BC459" w14:textId="6B22C1C7" w:rsidR="00AA31BF" w:rsidRPr="00DE1895" w:rsidRDefault="00AA31BF" w:rsidP="00BA502A">
      <w:pPr>
        <w:rPr>
          <w:rFonts w:eastAsia="Songti TC"/>
          <w:sz w:val="24"/>
          <w:szCs w:val="24"/>
        </w:rPr>
      </w:pPr>
      <w:r w:rsidRPr="009E707A">
        <w:rPr>
          <w:rFonts w:eastAsia="Songti TC"/>
          <w:sz w:val="24"/>
          <w:szCs w:val="24"/>
        </w:rPr>
        <w:t>在美索不达米亚，公元前三千年末之时，阿卡德君主是第一个将国家统一在其权力之下，并招募文士来书写历史的人，进而合法化其权力。这种历史</w:t>
      </w:r>
      <w:r w:rsidR="00637B48" w:rsidRPr="009E707A">
        <w:rPr>
          <w:rFonts w:eastAsia="Songti TC"/>
          <w:sz w:val="24"/>
          <w:szCs w:val="24"/>
        </w:rPr>
        <w:t>编撰</w:t>
      </w:r>
      <w:r w:rsidRPr="009E707A">
        <w:rPr>
          <w:rFonts w:eastAsia="Songti TC"/>
          <w:sz w:val="24"/>
          <w:szCs w:val="24"/>
        </w:rPr>
        <w:t>学是一种皇家历史（唯有国王方能创造历史），是一种纪念碑式的历史（特别是通过庞大的铭刻使自己具现化），是一种排他性的历史（掌握在作为知识分子的种姓阶层、书写控制者的手中）</w:t>
      </w:r>
      <w:r w:rsidR="00DE1895">
        <w:rPr>
          <w:rStyle w:val="Funotenzeichen"/>
          <w:rFonts w:eastAsia="Songti TC"/>
          <w:sz w:val="24"/>
          <w:szCs w:val="24"/>
        </w:rPr>
        <w:footnoteReference w:id="3"/>
      </w:r>
      <w:r w:rsidR="00DE1895">
        <w:rPr>
          <w:rFonts w:eastAsia="Songti TC" w:hint="eastAsia"/>
          <w:sz w:val="24"/>
          <w:szCs w:val="24"/>
        </w:rPr>
        <w:t>。</w:t>
      </w:r>
    </w:p>
    <w:p w14:paraId="7D14E2AA" w14:textId="5FCCA456" w:rsidR="003556F4" w:rsidRPr="009E707A" w:rsidRDefault="003556F4" w:rsidP="00BA502A">
      <w:pPr>
        <w:rPr>
          <w:rFonts w:eastAsia="Songti TC"/>
          <w:sz w:val="24"/>
          <w:szCs w:val="24"/>
        </w:rPr>
      </w:pPr>
      <w:r w:rsidRPr="009E707A">
        <w:rPr>
          <w:rFonts w:eastAsia="Songti TC"/>
          <w:sz w:val="24"/>
          <w:szCs w:val="24"/>
        </w:rPr>
        <w:t>对</w:t>
      </w:r>
      <w:r w:rsidR="00336882" w:rsidRPr="009E707A">
        <w:rPr>
          <w:rFonts w:eastAsia="Songti TC"/>
          <w:sz w:val="24"/>
          <w:szCs w:val="24"/>
        </w:rPr>
        <w:t>（希腊的）</w:t>
      </w:r>
      <w:r w:rsidRPr="009E707A">
        <w:rPr>
          <w:rFonts w:eastAsia="Songti TC"/>
          <w:sz w:val="24"/>
          <w:szCs w:val="24"/>
        </w:rPr>
        <w:t>东边来说，古代希伯来人的那些圣典，也总从根本上被认作为历史。然而，</w:t>
      </w:r>
      <w:r w:rsidRPr="009E707A">
        <w:rPr>
          <w:rFonts w:eastAsia="Songti TC"/>
          <w:sz w:val="24"/>
          <w:szCs w:val="24"/>
        </w:rPr>
        <w:lastRenderedPageBreak/>
        <w:t>尽管《圣经》中一直栖居着有关回忆的渴求，但它从未对过去表现出任何好奇。内中主要强调的危险是忘却祖先的经历，不再相信他们的真理。</w:t>
      </w:r>
      <w:r w:rsidRPr="009E707A">
        <w:rPr>
          <w:rFonts w:eastAsia="Songti TC"/>
          <w:sz w:val="24"/>
          <w:szCs w:val="24"/>
        </w:rPr>
        <w:t xml:space="preserve"> </w:t>
      </w:r>
      <w:r w:rsidRPr="009E707A">
        <w:rPr>
          <w:rFonts w:eastAsia="Songti TC"/>
          <w:sz w:val="24"/>
          <w:szCs w:val="24"/>
        </w:rPr>
        <w:t>以色列</w:t>
      </w:r>
      <w:r w:rsidRPr="009E707A">
        <w:rPr>
          <w:rFonts w:eastAsia="Songti TC"/>
          <w:sz w:val="24"/>
          <w:szCs w:val="24"/>
        </w:rPr>
        <w:t xml:space="preserve"> "</w:t>
      </w:r>
      <w:r w:rsidRPr="009E707A">
        <w:rPr>
          <w:rFonts w:eastAsia="Songti TC"/>
          <w:sz w:val="24"/>
          <w:szCs w:val="24"/>
        </w:rPr>
        <w:t>接受了成为祭司王朝和神圣国家的律令：没有任何地方表明，它将成为一个历史学家之国</w:t>
      </w:r>
      <w:r w:rsidR="00D80359">
        <w:rPr>
          <w:rStyle w:val="Funotenzeichen"/>
          <w:rFonts w:eastAsia="Songti TC"/>
          <w:sz w:val="24"/>
          <w:szCs w:val="24"/>
        </w:rPr>
        <w:footnoteReference w:id="4"/>
      </w:r>
      <w:r w:rsidRPr="009E707A">
        <w:rPr>
          <w:rFonts w:eastAsia="Songti TC"/>
          <w:sz w:val="24"/>
          <w:szCs w:val="24"/>
        </w:rPr>
        <w:t>"</w:t>
      </w:r>
      <w:r w:rsidR="00D80359">
        <w:rPr>
          <w:rFonts w:eastAsia="Songti TC" w:hint="eastAsia"/>
          <w:sz w:val="24"/>
          <w:szCs w:val="24"/>
        </w:rPr>
        <w:t>。</w:t>
      </w:r>
    </w:p>
    <w:p w14:paraId="6325DC6F" w14:textId="0A46C115" w:rsidR="00D55D19" w:rsidRPr="009E707A" w:rsidRDefault="00D55D19" w:rsidP="00D55D19">
      <w:pPr>
        <w:rPr>
          <w:rFonts w:eastAsia="Songti TC"/>
          <w:sz w:val="24"/>
          <w:szCs w:val="24"/>
        </w:rPr>
      </w:pPr>
      <w:r w:rsidRPr="009E707A">
        <w:rPr>
          <w:rFonts w:eastAsia="Songti TC"/>
          <w:sz w:val="24"/>
          <w:szCs w:val="24"/>
        </w:rPr>
        <w:t>那么，我们该给希腊人怎样一个定位呢？</w:t>
      </w:r>
      <w:r w:rsidRPr="009E707A">
        <w:rPr>
          <w:rFonts w:eastAsia="Songti TC"/>
          <w:sz w:val="24"/>
          <w:szCs w:val="24"/>
        </w:rPr>
        <w:t xml:space="preserve"> </w:t>
      </w:r>
      <w:r w:rsidRPr="009E707A">
        <w:rPr>
          <w:rFonts w:eastAsia="Songti TC"/>
          <w:sz w:val="24"/>
          <w:szCs w:val="24"/>
        </w:rPr>
        <w:t>这些从未被启示录垂青过的人，他们不知晓纪念的必要性与责任。他们住在东方国家边界附近的狭窄定居点里，难道他们不是试图把自己伪装成</w:t>
      </w:r>
      <w:r w:rsidRPr="009E707A">
        <w:rPr>
          <w:rFonts w:eastAsia="Songti TC"/>
          <w:sz w:val="24"/>
          <w:szCs w:val="24"/>
        </w:rPr>
        <w:t>"</w:t>
      </w:r>
      <w:r w:rsidRPr="009E707A">
        <w:rPr>
          <w:rFonts w:eastAsia="Songti TC"/>
          <w:sz w:val="24"/>
          <w:szCs w:val="24"/>
        </w:rPr>
        <w:t>先来者</w:t>
      </w:r>
      <w:r w:rsidRPr="009E707A">
        <w:rPr>
          <w:rFonts w:eastAsia="Songti TC"/>
          <w:sz w:val="24"/>
          <w:szCs w:val="24"/>
        </w:rPr>
        <w:t>"</w:t>
      </w:r>
      <w:r w:rsidRPr="009E707A">
        <w:rPr>
          <w:rFonts w:eastAsia="Songti TC"/>
          <w:sz w:val="24"/>
          <w:szCs w:val="24"/>
        </w:rPr>
        <w:t>的</w:t>
      </w:r>
      <w:r w:rsidRPr="009E707A">
        <w:rPr>
          <w:rFonts w:eastAsia="Songti TC"/>
          <w:sz w:val="24"/>
          <w:szCs w:val="24"/>
        </w:rPr>
        <w:t>"</w:t>
      </w:r>
      <w:r w:rsidRPr="009E707A">
        <w:rPr>
          <w:rFonts w:eastAsia="Songti TC"/>
          <w:sz w:val="24"/>
          <w:szCs w:val="24"/>
        </w:rPr>
        <w:t>后来者</w:t>
      </w:r>
      <w:r w:rsidRPr="009E707A">
        <w:rPr>
          <w:rFonts w:eastAsia="Songti TC"/>
          <w:sz w:val="24"/>
          <w:szCs w:val="24"/>
        </w:rPr>
        <w:t>"</w:t>
      </w:r>
      <w:r w:rsidRPr="009E707A">
        <w:rPr>
          <w:rFonts w:eastAsia="Songti TC"/>
          <w:sz w:val="24"/>
          <w:szCs w:val="24"/>
        </w:rPr>
        <w:t>？必须指出的是，他们自己从未声称自己是历史</w:t>
      </w:r>
      <w:r w:rsidR="00FE3B0E" w:rsidRPr="009E707A">
        <w:rPr>
          <w:rFonts w:eastAsia="Songti TC"/>
          <w:sz w:val="24"/>
          <w:szCs w:val="24"/>
        </w:rPr>
        <w:t>编撰</w:t>
      </w:r>
      <w:r w:rsidRPr="009E707A">
        <w:rPr>
          <w:rFonts w:eastAsia="Songti TC"/>
          <w:sz w:val="24"/>
          <w:szCs w:val="24"/>
        </w:rPr>
        <w:t>学的初来者。希罗多德本人，从未宣称自己是历史的第一个发明者。</w:t>
      </w:r>
    </w:p>
    <w:p w14:paraId="79D23C24" w14:textId="5ED45FC4" w:rsidR="00D55D19" w:rsidRPr="009E707A" w:rsidRDefault="00D55D19" w:rsidP="00D55D19">
      <w:pPr>
        <w:rPr>
          <w:rFonts w:eastAsia="Songti TC"/>
          <w:sz w:val="24"/>
          <w:szCs w:val="24"/>
        </w:rPr>
      </w:pPr>
      <w:r w:rsidRPr="009E707A">
        <w:rPr>
          <w:rFonts w:eastAsia="Songti TC"/>
          <w:sz w:val="24"/>
          <w:szCs w:val="24"/>
        </w:rPr>
        <w:t>他们的确是后来者。因为他们只是在最近（公元前八世纪）才发现或重新发现了文字，采用了叙利亚</w:t>
      </w:r>
      <w:r w:rsidRPr="009E707A">
        <w:rPr>
          <w:rFonts w:eastAsia="Songti TC"/>
          <w:sz w:val="24"/>
          <w:szCs w:val="24"/>
        </w:rPr>
        <w:t>-</w:t>
      </w:r>
      <w:r w:rsidRPr="009E707A">
        <w:rPr>
          <w:rFonts w:eastAsia="Songti TC"/>
          <w:sz w:val="24"/>
          <w:szCs w:val="24"/>
        </w:rPr>
        <w:t>腓尼基（</w:t>
      </w:r>
      <w:r w:rsidRPr="009E707A">
        <w:rPr>
          <w:rFonts w:eastAsia="Songti TC"/>
          <w:sz w:val="24"/>
          <w:szCs w:val="24"/>
        </w:rPr>
        <w:t>Syro-Phenician</w:t>
      </w:r>
      <w:r w:rsidRPr="009E707A">
        <w:rPr>
          <w:rFonts w:eastAsia="Songti TC"/>
          <w:sz w:val="24"/>
          <w:szCs w:val="24"/>
        </w:rPr>
        <w:t>）字母。他们还需要三世纪左右的时间，才能开始撰写他们的第一部历史。但希腊世界既不知道文本是一种启示，也不知道书写是作为专家种姓阶层的专利（直到迈锡尼王国仍是如此）。</w:t>
      </w:r>
    </w:p>
    <w:p w14:paraId="442E9626" w14:textId="14DC1BD8" w:rsidR="00BB67BE" w:rsidRPr="00D80359" w:rsidRDefault="00BB67BE" w:rsidP="00D55D19">
      <w:pPr>
        <w:rPr>
          <w:rFonts w:eastAsia="Songti TC"/>
          <w:sz w:val="24"/>
          <w:szCs w:val="24"/>
        </w:rPr>
      </w:pPr>
      <w:r w:rsidRPr="009E707A">
        <w:rPr>
          <w:rFonts w:eastAsia="Songti TC"/>
          <w:sz w:val="24"/>
          <w:szCs w:val="24"/>
        </w:rPr>
        <w:t>在认识论上，希腊人总将看（而非听）当作知识模式的特权。去看，也就是自己去看和去知悉，是同一件事。</w:t>
      </w:r>
      <w:r w:rsidRPr="009E707A">
        <w:rPr>
          <w:rFonts w:eastAsia="Songti TC"/>
          <w:sz w:val="24"/>
          <w:szCs w:val="24"/>
        </w:rPr>
        <w:t xml:space="preserve"> </w:t>
      </w:r>
      <w:r w:rsidRPr="009E707A">
        <w:rPr>
          <w:rFonts w:eastAsia="Songti TC"/>
          <w:sz w:val="24"/>
          <w:szCs w:val="24"/>
        </w:rPr>
        <w:t>在本体论上，他们在世界中的存在，对他们而言是毫无疑问的：这是不言自明的。对希腊人来说，在场、在那里、去看和去知悉都是共在的</w:t>
      </w:r>
      <w:r w:rsidR="00D80359">
        <w:rPr>
          <w:rStyle w:val="Funotenzeichen"/>
          <w:rFonts w:eastAsia="Songti TC"/>
          <w:sz w:val="24"/>
          <w:szCs w:val="24"/>
        </w:rPr>
        <w:footnoteReference w:id="5"/>
      </w:r>
      <w:r w:rsidRPr="009E707A">
        <w:rPr>
          <w:rFonts w:eastAsia="Songti TC"/>
          <w:sz w:val="24"/>
          <w:szCs w:val="24"/>
        </w:rPr>
        <w:t>。</w:t>
      </w:r>
    </w:p>
    <w:p w14:paraId="716FDF5A" w14:textId="2271A2DE" w:rsidR="00E54426" w:rsidRPr="009E707A" w:rsidRDefault="000667F3" w:rsidP="00D55D19">
      <w:pPr>
        <w:rPr>
          <w:rFonts w:eastAsia="Songti TC"/>
          <w:sz w:val="24"/>
          <w:szCs w:val="24"/>
        </w:rPr>
      </w:pPr>
      <w:r w:rsidRPr="009E707A">
        <w:rPr>
          <w:rFonts w:eastAsia="Songti TC"/>
          <w:sz w:val="24"/>
          <w:szCs w:val="24"/>
        </w:rPr>
        <w:t>占卜与历史</w:t>
      </w:r>
    </w:p>
    <w:p w14:paraId="1C471D36" w14:textId="10F2699B" w:rsidR="000667F3" w:rsidRPr="009E707A" w:rsidRDefault="00951D85" w:rsidP="00D55D19">
      <w:pPr>
        <w:rPr>
          <w:rFonts w:eastAsia="Songti TC"/>
          <w:sz w:val="24"/>
          <w:szCs w:val="24"/>
        </w:rPr>
      </w:pPr>
      <w:r w:rsidRPr="009E707A">
        <w:rPr>
          <w:rFonts w:eastAsia="Songti TC"/>
          <w:sz w:val="24"/>
          <w:szCs w:val="24"/>
        </w:rPr>
        <w:t>让我们将目光暂时回溯到第二千年末的美索不达米亚。也即纪念碑和皇家历史</w:t>
      </w:r>
      <w:r w:rsidR="00FE3B0E" w:rsidRPr="009E707A">
        <w:rPr>
          <w:rFonts w:eastAsia="Songti TC"/>
          <w:sz w:val="24"/>
          <w:szCs w:val="24"/>
        </w:rPr>
        <w:t>编撰</w:t>
      </w:r>
      <w:r w:rsidRPr="009E707A">
        <w:rPr>
          <w:rFonts w:eastAsia="Songti TC"/>
          <w:sz w:val="24"/>
          <w:szCs w:val="24"/>
        </w:rPr>
        <w:t>学的第一种模式，其方法既简单又无可争议，我想简要地谈谈这种，似乎是将占卜和历史联系起来的交互。在那里，占卜对于决策发挥了重要作用。占卜者是如何工作的？他们积累、分类神谕、制作清单、汇编案例并创建真正意义上的图书馆</w:t>
      </w:r>
      <w:r w:rsidR="00D80359">
        <w:rPr>
          <w:rStyle w:val="Funotenzeichen"/>
          <w:rFonts w:eastAsia="Songti TC"/>
          <w:sz w:val="24"/>
          <w:szCs w:val="24"/>
        </w:rPr>
        <w:footnoteReference w:id="6"/>
      </w:r>
      <w:r w:rsidRPr="009E707A">
        <w:rPr>
          <w:rFonts w:eastAsia="Songti TC"/>
          <w:sz w:val="24"/>
          <w:szCs w:val="24"/>
        </w:rPr>
        <w:t>。</w:t>
      </w:r>
      <w:r w:rsidR="00E16336" w:rsidRPr="009E707A">
        <w:rPr>
          <w:rFonts w:eastAsia="Songti TC"/>
          <w:sz w:val="24"/>
          <w:szCs w:val="24"/>
        </w:rPr>
        <w:t>占卜者以穷尽为理想</w:t>
      </w:r>
      <w:r w:rsidR="00E16336" w:rsidRPr="009E707A">
        <w:rPr>
          <w:rFonts w:eastAsia="Songti TC"/>
          <w:sz w:val="24"/>
          <w:szCs w:val="24"/>
        </w:rPr>
        <w:lastRenderedPageBreak/>
        <w:t>作为指导（收集所有的案例），他一直在寻找先例。他的工作方式可与法官的工作方式相媲美。换句话说，占卜，在成为一门关于未来的科学之前，首先是一门关于过去的科学。</w:t>
      </w:r>
    </w:p>
    <w:p w14:paraId="26497719" w14:textId="38453507" w:rsidR="00A11995" w:rsidRPr="009E707A" w:rsidRDefault="00A11995" w:rsidP="00D55D19">
      <w:pPr>
        <w:rPr>
          <w:rFonts w:eastAsia="Songti TC"/>
          <w:sz w:val="24"/>
          <w:szCs w:val="24"/>
        </w:rPr>
      </w:pPr>
      <w:r w:rsidRPr="009E707A">
        <w:rPr>
          <w:rFonts w:eastAsia="Songti TC"/>
          <w:sz w:val="24"/>
          <w:szCs w:val="24"/>
        </w:rPr>
        <w:t>在马里（</w:t>
      </w:r>
      <w:r w:rsidRPr="009E707A">
        <w:rPr>
          <w:rFonts w:eastAsia="Songti TC"/>
          <w:sz w:val="24"/>
          <w:szCs w:val="24"/>
        </w:rPr>
        <w:t>Mari)</w:t>
      </w:r>
      <w:r w:rsidRPr="009E707A">
        <w:rPr>
          <w:rFonts w:eastAsia="Songti TC"/>
          <w:sz w:val="24"/>
          <w:szCs w:val="24"/>
        </w:rPr>
        <w:t>（叙利亚的一座大宫殿），我们发现了一系列可追溯到</w:t>
      </w:r>
      <w:r w:rsidRPr="009E707A">
        <w:rPr>
          <w:rFonts w:eastAsia="Songti TC"/>
          <w:sz w:val="24"/>
          <w:szCs w:val="24"/>
        </w:rPr>
        <w:t>(</w:t>
      </w:r>
      <w:r w:rsidRPr="009E707A">
        <w:rPr>
          <w:rFonts w:eastAsia="Songti TC"/>
          <w:sz w:val="24"/>
          <w:szCs w:val="24"/>
          <w:lang w:val="en-US"/>
        </w:rPr>
        <w:t>美索不达米亚</w:t>
      </w:r>
      <w:r w:rsidRPr="009E707A">
        <w:rPr>
          <w:rFonts w:eastAsia="Songti TC"/>
          <w:sz w:val="24"/>
          <w:szCs w:val="24"/>
          <w:lang w:val="en-US"/>
        </w:rPr>
        <w:t>)</w:t>
      </w:r>
      <w:r w:rsidRPr="009E707A">
        <w:rPr>
          <w:rFonts w:eastAsia="Songti TC"/>
          <w:sz w:val="24"/>
          <w:szCs w:val="24"/>
        </w:rPr>
        <w:t>第二千年初的神谕，现代研究者将其称为</w:t>
      </w:r>
      <w:r w:rsidRPr="009E707A">
        <w:rPr>
          <w:rFonts w:eastAsia="Songti TC"/>
          <w:sz w:val="24"/>
          <w:szCs w:val="24"/>
        </w:rPr>
        <w:t>"</w:t>
      </w:r>
      <w:r w:rsidRPr="009E707A">
        <w:rPr>
          <w:rFonts w:eastAsia="Songti TC"/>
          <w:sz w:val="24"/>
          <w:szCs w:val="24"/>
        </w:rPr>
        <w:t>历史神谕</w:t>
      </w:r>
      <w:r w:rsidRPr="009E707A">
        <w:rPr>
          <w:rFonts w:eastAsia="Songti TC"/>
          <w:sz w:val="24"/>
          <w:szCs w:val="24"/>
        </w:rPr>
        <w:t>"</w:t>
      </w:r>
      <w:r w:rsidRPr="009E707A">
        <w:rPr>
          <w:rFonts w:eastAsia="Songti TC"/>
          <w:sz w:val="24"/>
          <w:szCs w:val="24"/>
        </w:rPr>
        <w:t>。为何是历史性的？因为神谕并没有采用权威的方式</w:t>
      </w:r>
      <w:r w:rsidRPr="009E707A">
        <w:rPr>
          <w:rFonts w:eastAsia="Songti TC"/>
          <w:sz w:val="24"/>
          <w:szCs w:val="24"/>
        </w:rPr>
        <w:t>——"</w:t>
      </w:r>
      <w:r w:rsidRPr="009E707A">
        <w:rPr>
          <w:rFonts w:eastAsia="Songti TC"/>
          <w:sz w:val="24"/>
          <w:szCs w:val="24"/>
        </w:rPr>
        <w:t>如果动物（被献祭的羊）的肝脏是这样的，这预示着国王将以这样的方式（在未来）占领该城镇。</w:t>
      </w:r>
      <w:r w:rsidRPr="009E707A">
        <w:rPr>
          <w:rFonts w:eastAsia="Songti TC"/>
          <w:sz w:val="24"/>
          <w:szCs w:val="24"/>
        </w:rPr>
        <w:t>"——</w:t>
      </w:r>
      <w:r w:rsidRPr="009E707A">
        <w:rPr>
          <w:rFonts w:eastAsia="Songti TC"/>
          <w:sz w:val="24"/>
          <w:szCs w:val="24"/>
        </w:rPr>
        <w:t>而是说</w:t>
      </w:r>
      <w:r w:rsidRPr="009E707A">
        <w:rPr>
          <w:rFonts w:eastAsia="Songti TC"/>
          <w:sz w:val="24"/>
          <w:szCs w:val="24"/>
        </w:rPr>
        <w:t xml:space="preserve"> "</w:t>
      </w:r>
      <w:r w:rsidRPr="009E707A">
        <w:rPr>
          <w:rFonts w:eastAsia="Songti TC"/>
          <w:sz w:val="24"/>
          <w:szCs w:val="24"/>
        </w:rPr>
        <w:t>如果动物的肝脏是这样的，这标志着国王已经以这样的方式（非常</w:t>
      </w:r>
      <w:r w:rsidR="00A85D2D" w:rsidRPr="009E707A">
        <w:rPr>
          <w:rFonts w:eastAsia="Songti TC"/>
          <w:sz w:val="24"/>
          <w:szCs w:val="24"/>
        </w:rPr>
        <w:t>精准</w:t>
      </w:r>
      <w:r w:rsidRPr="009E707A">
        <w:rPr>
          <w:rFonts w:eastAsia="Songti TC"/>
          <w:sz w:val="24"/>
          <w:szCs w:val="24"/>
        </w:rPr>
        <w:t>）占领了该城镇。</w:t>
      </w:r>
      <w:r w:rsidRPr="009E707A">
        <w:rPr>
          <w:rFonts w:eastAsia="Songti TC"/>
          <w:sz w:val="24"/>
          <w:szCs w:val="24"/>
        </w:rPr>
        <w:t xml:space="preserve">" </w:t>
      </w:r>
      <w:r w:rsidRPr="009E707A">
        <w:rPr>
          <w:rFonts w:eastAsia="Songti TC"/>
          <w:sz w:val="24"/>
          <w:szCs w:val="24"/>
        </w:rPr>
        <w:t>这种从未来时态到完成时态的说法，确实令人惊异，更何况它们所指的事件（被现代人）认为已经实际发生了。这就是为什么一些亚述学家，想要从这些神谕中窥见美索不达米亚历史学之雏形：首先是占卜，然后便是历史（如果你撇开神谕中涉及肝脏的前半部分）</w:t>
      </w:r>
      <w:r w:rsidR="009E707A">
        <w:rPr>
          <w:rStyle w:val="Funotenzeichen"/>
          <w:rFonts w:eastAsia="Songti TC"/>
          <w:sz w:val="24"/>
          <w:szCs w:val="24"/>
        </w:rPr>
        <w:footnoteReference w:id="7"/>
      </w:r>
      <w:r w:rsidRPr="009E707A">
        <w:rPr>
          <w:rFonts w:eastAsia="Songti TC"/>
          <w:sz w:val="24"/>
          <w:szCs w:val="24"/>
        </w:rPr>
        <w:t>。</w:t>
      </w:r>
      <w:r w:rsidR="001F1A53" w:rsidRPr="009E707A">
        <w:rPr>
          <w:rFonts w:eastAsia="Songti TC"/>
          <w:sz w:val="24"/>
          <w:szCs w:val="24"/>
        </w:rPr>
        <w:t>一些汉学家对中国的历史</w:t>
      </w:r>
      <w:r w:rsidR="00F34BB6" w:rsidRPr="009E707A">
        <w:rPr>
          <w:rFonts w:eastAsia="Songti TC"/>
          <w:sz w:val="24"/>
          <w:szCs w:val="24"/>
        </w:rPr>
        <w:t>编撰</w:t>
      </w:r>
      <w:r w:rsidR="001F1A53" w:rsidRPr="009E707A">
        <w:rPr>
          <w:rFonts w:eastAsia="Songti TC"/>
          <w:sz w:val="24"/>
          <w:szCs w:val="24"/>
        </w:rPr>
        <w:t>学持有同样的观点（从占卜到历史</w:t>
      </w:r>
      <w:r w:rsidR="00F34BB6" w:rsidRPr="009E707A">
        <w:rPr>
          <w:rFonts w:eastAsia="Songti TC"/>
          <w:sz w:val="24"/>
          <w:szCs w:val="24"/>
        </w:rPr>
        <w:t>编撰</w:t>
      </w:r>
      <w:r w:rsidR="001F1A53" w:rsidRPr="009E707A">
        <w:rPr>
          <w:rFonts w:eastAsia="Songti TC"/>
          <w:sz w:val="24"/>
          <w:szCs w:val="24"/>
        </w:rPr>
        <w:t>学）</w:t>
      </w:r>
      <w:r w:rsidR="009E707A">
        <w:rPr>
          <w:rStyle w:val="Funotenzeichen"/>
          <w:rFonts w:eastAsia="Songti TC"/>
          <w:sz w:val="24"/>
          <w:szCs w:val="24"/>
        </w:rPr>
        <w:footnoteReference w:id="8"/>
      </w:r>
      <w:r w:rsidR="001F1A53" w:rsidRPr="009E707A">
        <w:rPr>
          <w:rFonts w:eastAsia="Songti TC"/>
          <w:sz w:val="24"/>
          <w:szCs w:val="24"/>
        </w:rPr>
        <w:t>。</w:t>
      </w:r>
    </w:p>
    <w:p w14:paraId="5DBDF22C" w14:textId="17D5AC18" w:rsidR="006E519C" w:rsidRPr="009E707A" w:rsidRDefault="006E519C" w:rsidP="00D55D19">
      <w:pPr>
        <w:rPr>
          <w:rFonts w:eastAsia="Songti TC"/>
          <w:sz w:val="24"/>
          <w:szCs w:val="24"/>
        </w:rPr>
      </w:pPr>
      <w:r w:rsidRPr="009E707A">
        <w:rPr>
          <w:rFonts w:eastAsia="Songti TC"/>
          <w:sz w:val="24"/>
          <w:szCs w:val="24"/>
        </w:rPr>
        <w:t>我在此保留的唯一要点是，占卜和历史</w:t>
      </w:r>
      <w:r w:rsidR="00F34BB6" w:rsidRPr="009E707A">
        <w:rPr>
          <w:rFonts w:eastAsia="Songti TC"/>
          <w:sz w:val="24"/>
          <w:szCs w:val="24"/>
        </w:rPr>
        <w:t>编撰</w:t>
      </w:r>
      <w:r w:rsidRPr="009E707A">
        <w:rPr>
          <w:rFonts w:eastAsia="Songti TC"/>
          <w:sz w:val="24"/>
          <w:szCs w:val="24"/>
        </w:rPr>
        <w:t>学这两门学科，似乎共享或栖居在（足够和平的）同一知识空间内部。当然，它们可能是，而且确实是由同一群知识分子实践的。</w:t>
      </w:r>
      <w:r w:rsidRPr="009E707A">
        <w:rPr>
          <w:rFonts w:eastAsia="Songti TC"/>
          <w:sz w:val="24"/>
          <w:szCs w:val="24"/>
        </w:rPr>
        <w:t xml:space="preserve"> </w:t>
      </w:r>
      <w:r w:rsidRPr="009E707A">
        <w:rPr>
          <w:rFonts w:eastAsia="Songti TC"/>
          <w:sz w:val="24"/>
          <w:szCs w:val="24"/>
        </w:rPr>
        <w:t>对于美索不达米亚的国王来说，他是来寻求帮助的，而神谕则帮助他做出决定。对于被咨询的专家，即文士来说，记录一个</w:t>
      </w:r>
      <w:r w:rsidRPr="009E707A">
        <w:rPr>
          <w:rFonts w:eastAsia="Songti TC"/>
          <w:sz w:val="24"/>
          <w:szCs w:val="24"/>
        </w:rPr>
        <w:t>"</w:t>
      </w:r>
      <w:r w:rsidRPr="009E707A">
        <w:rPr>
          <w:rFonts w:eastAsia="Songti TC"/>
          <w:sz w:val="24"/>
          <w:szCs w:val="24"/>
        </w:rPr>
        <w:t>历史</w:t>
      </w:r>
      <w:r w:rsidRPr="009E707A">
        <w:rPr>
          <w:rFonts w:eastAsia="Songti TC"/>
          <w:sz w:val="24"/>
          <w:szCs w:val="24"/>
        </w:rPr>
        <w:t>"</w:t>
      </w:r>
      <w:r w:rsidRPr="009E707A">
        <w:rPr>
          <w:rFonts w:eastAsia="Songti TC"/>
          <w:sz w:val="24"/>
          <w:szCs w:val="24"/>
        </w:rPr>
        <w:t>神谕，转写并研究它，意味着在他的名单上增加了一个新的神谕结构，从而增加了他关于先例的储备。</w:t>
      </w:r>
    </w:p>
    <w:p w14:paraId="233FFED8" w14:textId="416874F0" w:rsidR="00C3291B" w:rsidRPr="009E707A" w:rsidRDefault="00C3291B" w:rsidP="00D55D19">
      <w:pPr>
        <w:rPr>
          <w:rFonts w:eastAsia="Songti TC"/>
          <w:sz w:val="24"/>
          <w:szCs w:val="24"/>
        </w:rPr>
      </w:pPr>
      <w:r w:rsidRPr="009E707A">
        <w:rPr>
          <w:rFonts w:eastAsia="Songti TC"/>
          <w:sz w:val="24"/>
          <w:szCs w:val="24"/>
        </w:rPr>
        <w:t>借助对著名的大年代记（</w:t>
      </w:r>
      <w:r w:rsidRPr="009E707A">
        <w:rPr>
          <w:rFonts w:eastAsia="Songti TC"/>
          <w:sz w:val="24"/>
          <w:szCs w:val="24"/>
        </w:rPr>
        <w:t>Annales maximi</w:t>
      </w:r>
      <w:r w:rsidRPr="009E707A">
        <w:rPr>
          <w:rFonts w:eastAsia="Songti TC"/>
          <w:sz w:val="24"/>
          <w:szCs w:val="24"/>
        </w:rPr>
        <w:t>）的研究，我们可以将这一考察扩展到古罗马，因为它已经消失了，所以更为著名。</w:t>
      </w:r>
      <w:r w:rsidRPr="009E707A">
        <w:rPr>
          <w:rFonts w:eastAsia="Songti TC"/>
          <w:sz w:val="24"/>
          <w:szCs w:val="24"/>
        </w:rPr>
        <w:t xml:space="preserve"> </w:t>
      </w:r>
      <w:r w:rsidRPr="009E707A">
        <w:rPr>
          <w:rFonts w:eastAsia="Songti TC"/>
          <w:sz w:val="24"/>
          <w:szCs w:val="24"/>
        </w:rPr>
        <w:t>每年，大祭司（</w:t>
      </w:r>
      <w:r w:rsidRPr="009E707A">
        <w:rPr>
          <w:rFonts w:eastAsia="Songti TC"/>
          <w:sz w:val="24"/>
          <w:szCs w:val="24"/>
        </w:rPr>
        <w:t>pontifex maximus</w:t>
      </w:r>
      <w:r w:rsidRPr="009E707A">
        <w:rPr>
          <w:rFonts w:eastAsia="Songti TC"/>
          <w:sz w:val="24"/>
          <w:szCs w:val="24"/>
        </w:rPr>
        <w:t>）都要写一份</w:t>
      </w:r>
      <w:r w:rsidRPr="009E707A">
        <w:rPr>
          <w:rFonts w:eastAsia="Songti TC"/>
          <w:sz w:val="24"/>
          <w:szCs w:val="24"/>
        </w:rPr>
        <w:t xml:space="preserve"> "</w:t>
      </w:r>
      <w:r w:rsidRPr="009E707A">
        <w:rPr>
          <w:rFonts w:eastAsia="Songti TC"/>
          <w:sz w:val="24"/>
          <w:szCs w:val="24"/>
        </w:rPr>
        <w:t>纪事</w:t>
      </w:r>
      <w:r w:rsidRPr="009E707A">
        <w:rPr>
          <w:rFonts w:eastAsia="Songti TC"/>
          <w:sz w:val="24"/>
          <w:szCs w:val="24"/>
        </w:rPr>
        <w:t>"</w:t>
      </w:r>
      <w:r w:rsidRPr="009E707A">
        <w:rPr>
          <w:rFonts w:eastAsia="Songti TC"/>
          <w:sz w:val="24"/>
          <w:szCs w:val="24"/>
        </w:rPr>
        <w:t>（</w:t>
      </w:r>
      <w:r w:rsidRPr="009E707A">
        <w:rPr>
          <w:rFonts w:eastAsia="Songti TC"/>
          <w:sz w:val="24"/>
          <w:szCs w:val="24"/>
        </w:rPr>
        <w:t>tabula</w:t>
      </w:r>
      <w:r w:rsidRPr="009E707A">
        <w:rPr>
          <w:rFonts w:eastAsia="Songti TC"/>
          <w:sz w:val="24"/>
          <w:szCs w:val="24"/>
        </w:rPr>
        <w:t>），挂在自家门前。</w:t>
      </w:r>
      <w:r w:rsidRPr="009E707A">
        <w:rPr>
          <w:rFonts w:eastAsia="Songti TC"/>
          <w:sz w:val="24"/>
          <w:szCs w:val="24"/>
        </w:rPr>
        <w:t xml:space="preserve"> </w:t>
      </w:r>
      <w:r w:rsidRPr="009E707A">
        <w:rPr>
          <w:rFonts w:eastAsia="Songti TC"/>
          <w:sz w:val="24"/>
          <w:szCs w:val="24"/>
        </w:rPr>
        <w:t>西塞罗将这种记录解释为罗马历史</w:t>
      </w:r>
      <w:r w:rsidR="001D319D" w:rsidRPr="009E707A">
        <w:rPr>
          <w:rFonts w:eastAsia="Songti TC"/>
          <w:sz w:val="24"/>
          <w:szCs w:val="24"/>
        </w:rPr>
        <w:t>编撰</w:t>
      </w:r>
      <w:r w:rsidRPr="009E707A">
        <w:rPr>
          <w:rFonts w:eastAsia="Songti TC"/>
          <w:sz w:val="24"/>
          <w:szCs w:val="24"/>
        </w:rPr>
        <w:t>学的开端，尽</w:t>
      </w:r>
      <w:r w:rsidRPr="009E707A">
        <w:rPr>
          <w:rFonts w:eastAsia="Songti TC"/>
          <w:sz w:val="24"/>
          <w:szCs w:val="24"/>
        </w:rPr>
        <w:lastRenderedPageBreak/>
        <w:t>管它是笨拙且未经精炼的。</w:t>
      </w:r>
      <w:r w:rsidRPr="009E707A">
        <w:rPr>
          <w:rFonts w:eastAsia="Songti TC"/>
          <w:sz w:val="24"/>
          <w:szCs w:val="24"/>
        </w:rPr>
        <w:t xml:space="preserve"> </w:t>
      </w:r>
      <w:r w:rsidRPr="009E707A">
        <w:rPr>
          <w:rFonts w:eastAsia="Songti TC"/>
          <w:sz w:val="24"/>
          <w:szCs w:val="24"/>
        </w:rPr>
        <w:t>在对这一棘手问题的重新审视中，有人提出，这份在每年年底提交的文件，一定是作为一种关于城市与神灵之间关系状况的报告而发挥其功能的</w:t>
      </w:r>
      <w:r w:rsidR="009E707A">
        <w:rPr>
          <w:rStyle w:val="Funotenzeichen"/>
          <w:rFonts w:eastAsia="Songti TC"/>
          <w:sz w:val="24"/>
          <w:szCs w:val="24"/>
        </w:rPr>
        <w:footnoteReference w:id="9"/>
      </w:r>
      <w:r w:rsidRPr="009E707A">
        <w:rPr>
          <w:rFonts w:eastAsia="Songti TC"/>
          <w:sz w:val="24"/>
          <w:szCs w:val="24"/>
        </w:rPr>
        <w:t>。</w:t>
      </w:r>
    </w:p>
    <w:p w14:paraId="28A5354D" w14:textId="454DEE2E" w:rsidR="005C33B1" w:rsidRPr="009E707A" w:rsidRDefault="005C33B1" w:rsidP="00D55D19">
      <w:pPr>
        <w:rPr>
          <w:rFonts w:eastAsia="Songti TC"/>
          <w:sz w:val="24"/>
          <w:szCs w:val="24"/>
        </w:rPr>
      </w:pPr>
      <w:r w:rsidRPr="009E707A">
        <w:rPr>
          <w:rFonts w:eastAsia="Songti TC"/>
          <w:sz w:val="24"/>
          <w:szCs w:val="24"/>
        </w:rPr>
        <w:t>它被交给了大祭司，让他以</w:t>
      </w:r>
      <w:r w:rsidRPr="009E707A">
        <w:rPr>
          <w:rFonts w:eastAsia="Songti TC"/>
          <w:sz w:val="24"/>
          <w:szCs w:val="24"/>
        </w:rPr>
        <w:t xml:space="preserve"> "</w:t>
      </w:r>
      <w:r w:rsidRPr="009E707A">
        <w:rPr>
          <w:rFonts w:eastAsia="Songti TC"/>
          <w:sz w:val="24"/>
          <w:szCs w:val="24"/>
        </w:rPr>
        <w:t>在他的纪事上保留事件的记忆</w:t>
      </w:r>
      <w:r w:rsidRPr="009E707A">
        <w:rPr>
          <w:rFonts w:eastAsia="Songti TC"/>
          <w:sz w:val="24"/>
          <w:szCs w:val="24"/>
        </w:rPr>
        <w:t xml:space="preserve"> "</w:t>
      </w:r>
      <w:r w:rsidRPr="009E707A">
        <w:rPr>
          <w:rFonts w:eastAsia="Songti TC"/>
          <w:sz w:val="24"/>
          <w:szCs w:val="24"/>
        </w:rPr>
        <w:t>的身份来编纂它。他扮演了一个时间掌控者的角色。什么事件？</w:t>
      </w:r>
      <w:r w:rsidRPr="009E707A">
        <w:rPr>
          <w:rFonts w:eastAsia="Songti TC"/>
          <w:sz w:val="24"/>
          <w:szCs w:val="24"/>
        </w:rPr>
        <w:t xml:space="preserve"> </w:t>
      </w:r>
      <w:r w:rsidRPr="009E707A">
        <w:rPr>
          <w:rFonts w:eastAsia="Songti TC"/>
          <w:sz w:val="24"/>
          <w:szCs w:val="24"/>
        </w:rPr>
        <w:t>什么可以被称为事件？胜利、失败、灾难、预兆：它们被收集和登记，并非为了它们本身，而是作为被允许保持虔诚的记录之标志。</w:t>
      </w:r>
      <w:r w:rsidRPr="009E707A">
        <w:rPr>
          <w:rFonts w:eastAsia="Songti TC"/>
          <w:sz w:val="24"/>
          <w:szCs w:val="24"/>
        </w:rPr>
        <w:t xml:space="preserve"> </w:t>
      </w:r>
      <w:r w:rsidRPr="009E707A">
        <w:rPr>
          <w:rFonts w:eastAsia="Songti TC"/>
          <w:sz w:val="24"/>
          <w:szCs w:val="24"/>
        </w:rPr>
        <w:t>在这方面尤为重要的是预兆：首先，人们必须决定某件事（奇怪的、特别的）是否是预兆，如果答案是肯定的，那么什么将是合适的答案（如何</w:t>
      </w:r>
      <w:r w:rsidRPr="009E707A">
        <w:rPr>
          <w:rFonts w:eastAsia="Songti TC"/>
          <w:sz w:val="24"/>
          <w:szCs w:val="24"/>
        </w:rPr>
        <w:t>"</w:t>
      </w:r>
      <w:r w:rsidRPr="009E707A">
        <w:rPr>
          <w:rFonts w:eastAsia="Songti TC"/>
          <w:sz w:val="24"/>
          <w:szCs w:val="24"/>
        </w:rPr>
        <w:t>赎偿</w:t>
      </w:r>
      <w:r w:rsidRPr="009E707A">
        <w:rPr>
          <w:rFonts w:eastAsia="Songti TC"/>
          <w:sz w:val="24"/>
          <w:szCs w:val="24"/>
        </w:rPr>
        <w:t>"</w:t>
      </w:r>
      <w:r w:rsidRPr="009E707A">
        <w:rPr>
          <w:rFonts w:eastAsia="Songti TC"/>
          <w:sz w:val="24"/>
          <w:szCs w:val="24"/>
        </w:rPr>
        <w:t>它）。为了完成这项工作，祭司也需要档案，并要寻求先例。</w:t>
      </w:r>
    </w:p>
    <w:p w14:paraId="0830D1A5" w14:textId="2805DC35" w:rsidR="00287FD1" w:rsidRPr="009E707A" w:rsidRDefault="00287FD1" w:rsidP="00287FD1">
      <w:pPr>
        <w:rPr>
          <w:rFonts w:eastAsia="Songti TC"/>
          <w:sz w:val="24"/>
          <w:szCs w:val="24"/>
        </w:rPr>
      </w:pPr>
      <w:r w:rsidRPr="009E707A">
        <w:rPr>
          <w:rFonts w:eastAsia="Songti TC"/>
          <w:sz w:val="24"/>
          <w:szCs w:val="24"/>
        </w:rPr>
        <w:t>这份汇编，可以理所当然地被称为罗马的</w:t>
      </w:r>
      <w:r w:rsidRPr="009E707A">
        <w:rPr>
          <w:rFonts w:eastAsia="Songti TC"/>
          <w:sz w:val="24"/>
          <w:szCs w:val="24"/>
        </w:rPr>
        <w:t>"</w:t>
      </w:r>
      <w:r w:rsidRPr="009E707A">
        <w:rPr>
          <w:rFonts w:eastAsia="Songti TC"/>
          <w:sz w:val="24"/>
          <w:szCs w:val="24"/>
        </w:rPr>
        <w:t>官方</w:t>
      </w:r>
      <w:r w:rsidRPr="009E707A">
        <w:rPr>
          <w:rFonts w:eastAsia="Songti TC"/>
          <w:sz w:val="24"/>
          <w:szCs w:val="24"/>
        </w:rPr>
        <w:t>"</w:t>
      </w:r>
      <w:r w:rsidRPr="009E707A">
        <w:rPr>
          <w:rFonts w:eastAsia="Songti TC"/>
          <w:sz w:val="24"/>
          <w:szCs w:val="24"/>
        </w:rPr>
        <w:t>历史或</w:t>
      </w:r>
      <w:r w:rsidRPr="009E707A">
        <w:rPr>
          <w:rFonts w:eastAsia="Songti TC"/>
          <w:sz w:val="24"/>
          <w:szCs w:val="24"/>
        </w:rPr>
        <w:t>"</w:t>
      </w:r>
      <w:r w:rsidRPr="009E707A">
        <w:rPr>
          <w:rFonts w:eastAsia="Songti TC"/>
          <w:sz w:val="24"/>
          <w:szCs w:val="24"/>
        </w:rPr>
        <w:t>宗教</w:t>
      </w:r>
      <w:r w:rsidRPr="009E707A">
        <w:rPr>
          <w:rFonts w:eastAsia="Songti TC"/>
          <w:sz w:val="24"/>
          <w:szCs w:val="24"/>
        </w:rPr>
        <w:t>"</w:t>
      </w:r>
      <w:r w:rsidRPr="009E707A">
        <w:rPr>
          <w:rFonts w:eastAsia="Songti TC"/>
          <w:sz w:val="24"/>
          <w:szCs w:val="24"/>
        </w:rPr>
        <w:t>历史。但值得注意的是，这里的时间性，是一种市政或政治性的工作。这份报告每年都要为新任执政官撰写，涉及以下问题：我们在诸神面前的处境如何？我们做了必要的事情吗？我们应该怎么做？</w:t>
      </w:r>
      <w:r w:rsidRPr="009E707A">
        <w:rPr>
          <w:rFonts w:eastAsia="Songti TC"/>
          <w:sz w:val="24"/>
          <w:szCs w:val="24"/>
        </w:rPr>
        <w:t xml:space="preserve"> </w:t>
      </w:r>
      <w:r w:rsidRPr="009E707A">
        <w:rPr>
          <w:rFonts w:eastAsia="Songti TC"/>
          <w:sz w:val="24"/>
          <w:szCs w:val="24"/>
        </w:rPr>
        <w:t>正如我所言，祭司是一个借助研究先例（特别是关于预兆）来指引档案的人，但他主要关注的是当下。</w:t>
      </w:r>
      <w:r w:rsidRPr="009E707A">
        <w:rPr>
          <w:rFonts w:eastAsia="Songti TC"/>
          <w:sz w:val="24"/>
          <w:szCs w:val="24"/>
        </w:rPr>
        <w:t xml:space="preserve"> </w:t>
      </w:r>
      <w:r w:rsidRPr="009E707A">
        <w:rPr>
          <w:rFonts w:eastAsia="Songti TC"/>
          <w:sz w:val="24"/>
          <w:szCs w:val="24"/>
        </w:rPr>
        <w:t>每年他都会向新任执政官，提供一份关于城市宗教情况的报告。</w:t>
      </w:r>
    </w:p>
    <w:p w14:paraId="4FEB16BA" w14:textId="68958A1E" w:rsidR="00287FD1" w:rsidRPr="009E707A" w:rsidRDefault="00287FD1" w:rsidP="00287FD1">
      <w:pPr>
        <w:rPr>
          <w:rFonts w:eastAsia="Songti TC"/>
          <w:sz w:val="24"/>
          <w:szCs w:val="24"/>
        </w:rPr>
      </w:pPr>
      <w:r w:rsidRPr="009E707A">
        <w:rPr>
          <w:rFonts w:eastAsia="Songti TC"/>
          <w:sz w:val="24"/>
          <w:szCs w:val="24"/>
        </w:rPr>
        <w:t>希腊城市的初始选择，则是非常与众不同的。占卜当然存在，神谕集也确实存在。但是，希腊人的历史编撰学，以及后来成为现代人的</w:t>
      </w:r>
      <w:r w:rsidRPr="009E707A">
        <w:rPr>
          <w:rFonts w:eastAsia="Songti TC"/>
          <w:sz w:val="24"/>
          <w:szCs w:val="24"/>
        </w:rPr>
        <w:t>"</w:t>
      </w:r>
      <w:r w:rsidRPr="009E707A">
        <w:rPr>
          <w:rFonts w:eastAsia="Songti TC"/>
          <w:sz w:val="24"/>
          <w:szCs w:val="24"/>
        </w:rPr>
        <w:t>历史学</w:t>
      </w:r>
      <w:r w:rsidRPr="009E707A">
        <w:rPr>
          <w:rFonts w:eastAsia="Songti TC"/>
          <w:sz w:val="24"/>
          <w:szCs w:val="24"/>
        </w:rPr>
        <w:t>"</w:t>
      </w:r>
      <w:r w:rsidRPr="009E707A">
        <w:rPr>
          <w:rFonts w:eastAsia="Songti TC"/>
          <w:sz w:val="24"/>
          <w:szCs w:val="24"/>
        </w:rPr>
        <w:t>，却走上了一条不同的道路。这种历史编撰学以史诗为前提。希罗多德原本希望与荷马匹敌，不过他最终成为了独一无二的希罗多德。</w:t>
      </w:r>
    </w:p>
    <w:p w14:paraId="2D090F26" w14:textId="1FE6B6B3" w:rsidR="009B7398" w:rsidRPr="009E707A" w:rsidRDefault="009B7398" w:rsidP="00287FD1">
      <w:pPr>
        <w:rPr>
          <w:rFonts w:eastAsia="Songti TC"/>
          <w:sz w:val="24"/>
          <w:szCs w:val="24"/>
        </w:rPr>
      </w:pPr>
      <w:r w:rsidRPr="009E707A">
        <w:rPr>
          <w:rFonts w:eastAsia="Songti TC"/>
          <w:sz w:val="24"/>
          <w:szCs w:val="24"/>
        </w:rPr>
        <w:t>作为生成矩阵的史诗</w:t>
      </w:r>
    </w:p>
    <w:p w14:paraId="00F569B3" w14:textId="7E300472" w:rsidR="009B7398" w:rsidRPr="009E707A" w:rsidRDefault="006B0F5E" w:rsidP="00287FD1">
      <w:pPr>
        <w:rPr>
          <w:rFonts w:eastAsia="Songti TC"/>
          <w:sz w:val="24"/>
          <w:szCs w:val="24"/>
          <w:lang w:val="en-US"/>
        </w:rPr>
      </w:pPr>
      <w:r w:rsidRPr="009E707A">
        <w:rPr>
          <w:rFonts w:eastAsia="Songti TC"/>
          <w:sz w:val="24"/>
          <w:szCs w:val="24"/>
          <w:lang w:val="en-US"/>
        </w:rPr>
        <w:t>在希腊，一切自史诗始。有了它，通过它，</w:t>
      </w:r>
      <w:r w:rsidR="005406C6" w:rsidRPr="009E707A">
        <w:rPr>
          <w:rFonts w:eastAsia="Songti TC"/>
          <w:sz w:val="24"/>
          <w:szCs w:val="24"/>
          <w:lang w:val="en-US"/>
        </w:rPr>
        <w:t>亚该亚</w:t>
      </w:r>
      <w:r w:rsidRPr="009E707A">
        <w:rPr>
          <w:rFonts w:eastAsia="Songti TC"/>
          <w:sz w:val="24"/>
          <w:szCs w:val="24"/>
          <w:lang w:val="en-US"/>
        </w:rPr>
        <w:t>人与特洛伊人对峙了十年的特洛伊战争，成为了位于历史边缘的</w:t>
      </w:r>
      <w:r w:rsidRPr="009E707A">
        <w:rPr>
          <w:rFonts w:eastAsia="Songti TC"/>
          <w:sz w:val="24"/>
          <w:szCs w:val="24"/>
          <w:lang w:val="en-US"/>
        </w:rPr>
        <w:t>"</w:t>
      </w:r>
      <w:r w:rsidRPr="009E707A">
        <w:rPr>
          <w:rFonts w:eastAsia="Songti TC"/>
          <w:sz w:val="24"/>
          <w:szCs w:val="24"/>
          <w:lang w:val="en-US"/>
        </w:rPr>
        <w:t>轴心</w:t>
      </w:r>
      <w:r w:rsidRPr="009E707A">
        <w:rPr>
          <w:rFonts w:eastAsia="Songti TC"/>
          <w:sz w:val="24"/>
          <w:szCs w:val="24"/>
          <w:lang w:val="en-US"/>
        </w:rPr>
        <w:t>"</w:t>
      </w:r>
      <w:r w:rsidRPr="009E707A">
        <w:rPr>
          <w:rFonts w:eastAsia="Songti TC"/>
          <w:sz w:val="24"/>
          <w:szCs w:val="24"/>
          <w:lang w:val="en-US"/>
        </w:rPr>
        <w:t>事件。起初，它只是一个希腊事件，然后成为了一个</w:t>
      </w:r>
      <w:r w:rsidRPr="009E707A">
        <w:rPr>
          <w:rFonts w:eastAsia="Songti TC"/>
          <w:sz w:val="24"/>
          <w:szCs w:val="24"/>
          <w:lang w:val="en-US"/>
        </w:rPr>
        <w:lastRenderedPageBreak/>
        <w:t>罗马事件，最后成为了一个西方事件。时至今日，特洛伊战争仍备受争议，甚至被否认，但几个世纪以来，它是一个共同的指向点</w:t>
      </w:r>
      <w:r w:rsidR="009E707A">
        <w:rPr>
          <w:rStyle w:val="Funotenzeichen"/>
          <w:rFonts w:eastAsia="Songti TC"/>
          <w:sz w:val="24"/>
          <w:szCs w:val="24"/>
          <w:lang w:val="en-US"/>
        </w:rPr>
        <w:footnoteReference w:id="10"/>
      </w:r>
      <w:r w:rsidRPr="009E707A">
        <w:rPr>
          <w:rFonts w:eastAsia="Songti TC"/>
          <w:sz w:val="24"/>
          <w:szCs w:val="24"/>
          <w:lang w:val="en-US"/>
        </w:rPr>
        <w:t>。</w:t>
      </w:r>
      <w:r w:rsidR="00806299" w:rsidRPr="009E707A">
        <w:rPr>
          <w:rFonts w:eastAsia="Songti TC"/>
          <w:sz w:val="24"/>
          <w:szCs w:val="24"/>
          <w:lang w:val="en-US"/>
        </w:rPr>
        <w:t>修昔底德认为这是希腊人</w:t>
      </w:r>
      <w:r w:rsidR="00806299" w:rsidRPr="009E707A">
        <w:rPr>
          <w:rFonts w:eastAsia="Songti TC"/>
          <w:sz w:val="24"/>
          <w:szCs w:val="24"/>
          <w:lang w:val="en-US"/>
        </w:rPr>
        <w:t>"</w:t>
      </w:r>
      <w:r w:rsidR="00806299" w:rsidRPr="009E707A">
        <w:rPr>
          <w:rFonts w:eastAsia="Songti TC"/>
          <w:sz w:val="24"/>
          <w:szCs w:val="24"/>
          <w:lang w:val="en-US"/>
        </w:rPr>
        <w:t>共同</w:t>
      </w:r>
      <w:r w:rsidR="00806299" w:rsidRPr="009E707A">
        <w:rPr>
          <w:rFonts w:eastAsia="Songti TC"/>
          <w:sz w:val="24"/>
          <w:szCs w:val="24"/>
          <w:lang w:val="en-US"/>
        </w:rPr>
        <w:t>"</w:t>
      </w:r>
      <w:r w:rsidR="00806299" w:rsidRPr="009E707A">
        <w:rPr>
          <w:rFonts w:eastAsia="Songti TC"/>
          <w:sz w:val="24"/>
          <w:szCs w:val="24"/>
          <w:lang w:val="en-US"/>
        </w:rPr>
        <w:t>进行的，第一个任何规模意义上的事业。事实上，这也是他们被称之为</w:t>
      </w:r>
      <w:r w:rsidR="00806299" w:rsidRPr="009E707A">
        <w:rPr>
          <w:rFonts w:eastAsia="Songti TC"/>
          <w:sz w:val="24"/>
          <w:szCs w:val="24"/>
          <w:lang w:val="en-US"/>
        </w:rPr>
        <w:t>"</w:t>
      </w:r>
      <w:r w:rsidR="00806299" w:rsidRPr="009E707A">
        <w:rPr>
          <w:rFonts w:eastAsia="Songti TC"/>
          <w:sz w:val="24"/>
          <w:szCs w:val="24"/>
          <w:lang w:val="en-US"/>
        </w:rPr>
        <w:t>希腊人</w:t>
      </w:r>
      <w:r w:rsidR="00806299" w:rsidRPr="009E707A">
        <w:rPr>
          <w:rFonts w:eastAsia="Songti TC"/>
          <w:sz w:val="24"/>
          <w:szCs w:val="24"/>
          <w:lang w:val="en-US"/>
        </w:rPr>
        <w:t>"</w:t>
      </w:r>
      <w:r w:rsidR="00806299" w:rsidRPr="009E707A">
        <w:rPr>
          <w:rFonts w:eastAsia="Songti TC"/>
          <w:sz w:val="24"/>
          <w:szCs w:val="24"/>
          <w:lang w:val="en-US"/>
        </w:rPr>
        <w:t>的原因。回过头来看，希波战争（公元前</w:t>
      </w:r>
      <w:r w:rsidR="00806299" w:rsidRPr="009E707A">
        <w:rPr>
          <w:rFonts w:eastAsia="Songti TC"/>
          <w:sz w:val="24"/>
          <w:szCs w:val="24"/>
          <w:lang w:val="en-US"/>
        </w:rPr>
        <w:t>5</w:t>
      </w:r>
      <w:r w:rsidR="00806299" w:rsidRPr="009E707A">
        <w:rPr>
          <w:rFonts w:eastAsia="Songti TC"/>
          <w:sz w:val="24"/>
          <w:szCs w:val="24"/>
          <w:lang w:val="en-US"/>
        </w:rPr>
        <w:t>年）将特洛伊人变成了野蛮人（荷马的一个未知称谓），亚该亚人的远征是对亚洲的第一次决定性胜利。五个世纪后，维吉尔将为罗马人，在特洛伊的灰烬和埃涅阿斯的流亡中重新发现</w:t>
      </w:r>
      <w:r w:rsidR="00934724" w:rsidRPr="009E707A">
        <w:rPr>
          <w:rFonts w:eastAsia="Songti TC"/>
          <w:sz w:val="24"/>
          <w:szCs w:val="24"/>
          <w:lang w:val="en-US"/>
        </w:rPr>
        <w:t>了</w:t>
      </w:r>
      <w:r w:rsidR="00806299" w:rsidRPr="009E707A">
        <w:rPr>
          <w:rFonts w:eastAsia="Songti TC"/>
          <w:sz w:val="24"/>
          <w:szCs w:val="24"/>
          <w:lang w:val="en-US"/>
        </w:rPr>
        <w:t>他们历史的起点。</w:t>
      </w:r>
      <w:r w:rsidR="00806299" w:rsidRPr="009E707A">
        <w:rPr>
          <w:rFonts w:eastAsia="Songti TC"/>
          <w:sz w:val="24"/>
          <w:szCs w:val="24"/>
          <w:lang w:val="en-US"/>
        </w:rPr>
        <w:t>19</w:t>
      </w:r>
      <w:r w:rsidR="00806299" w:rsidRPr="009E707A">
        <w:rPr>
          <w:rFonts w:eastAsia="Songti TC"/>
          <w:sz w:val="24"/>
          <w:szCs w:val="24"/>
          <w:lang w:val="en-US"/>
        </w:rPr>
        <w:t>世纪后，黑格尔仍将颂扬特洛伊战争，认为这是欧洲对他所谓的</w:t>
      </w:r>
      <w:r w:rsidR="00806299" w:rsidRPr="009E707A">
        <w:rPr>
          <w:rFonts w:eastAsia="Songti TC"/>
          <w:sz w:val="24"/>
          <w:szCs w:val="24"/>
          <w:lang w:val="en-US"/>
        </w:rPr>
        <w:t xml:space="preserve"> "</w:t>
      </w:r>
      <w:r w:rsidR="00806299" w:rsidRPr="009E707A">
        <w:rPr>
          <w:rFonts w:eastAsia="Songti TC"/>
          <w:sz w:val="24"/>
          <w:szCs w:val="24"/>
          <w:lang w:val="en-US"/>
        </w:rPr>
        <w:t>亚洲原则</w:t>
      </w:r>
      <w:r w:rsidR="00806299" w:rsidRPr="009E707A">
        <w:rPr>
          <w:rFonts w:eastAsia="Songti TC"/>
          <w:sz w:val="24"/>
          <w:szCs w:val="24"/>
          <w:lang w:val="en-US"/>
        </w:rPr>
        <w:t xml:space="preserve"> "</w:t>
      </w:r>
      <w:r w:rsidR="00806299" w:rsidRPr="009E707A">
        <w:rPr>
          <w:rFonts w:eastAsia="Songti TC"/>
          <w:sz w:val="24"/>
          <w:szCs w:val="24"/>
          <w:lang w:val="en-US"/>
        </w:rPr>
        <w:t>的胜利。</w:t>
      </w:r>
    </w:p>
    <w:p w14:paraId="59855F5C" w14:textId="17CF77AD" w:rsidR="00C842A7" w:rsidRPr="009E707A" w:rsidRDefault="00C842A7" w:rsidP="00287FD1">
      <w:pPr>
        <w:rPr>
          <w:rFonts w:eastAsia="Songti TC"/>
          <w:sz w:val="24"/>
          <w:szCs w:val="24"/>
          <w:lang w:val="en-US"/>
        </w:rPr>
      </w:pPr>
      <w:r w:rsidRPr="009E707A">
        <w:rPr>
          <w:rFonts w:eastAsia="Songti TC"/>
          <w:sz w:val="24"/>
          <w:szCs w:val="24"/>
          <w:lang w:val="en-US"/>
        </w:rPr>
        <w:t>奥德修斯的旅程而今已接近尾声。他的同伴们都已死去，他在费阿刻斯人（</w:t>
      </w:r>
      <w:r w:rsidRPr="009E707A">
        <w:rPr>
          <w:rFonts w:eastAsia="Songti TC"/>
          <w:sz w:val="24"/>
          <w:szCs w:val="24"/>
          <w:lang w:val="en-US"/>
        </w:rPr>
        <w:t>Phaeacians</w:t>
      </w:r>
      <w:r w:rsidRPr="009E707A">
        <w:rPr>
          <w:rFonts w:eastAsia="Songti TC"/>
          <w:sz w:val="24"/>
          <w:szCs w:val="24"/>
          <w:lang w:val="en-US"/>
        </w:rPr>
        <w:t>）的宫廷里被当成了贵宾。在他们的国王举行的宴会上，奥德修斯要求吟游诗人德莫多克斯（</w:t>
      </w:r>
      <w:r w:rsidRPr="009E707A">
        <w:rPr>
          <w:rFonts w:eastAsia="Songti TC"/>
          <w:sz w:val="24"/>
          <w:szCs w:val="24"/>
          <w:lang w:val="en-US"/>
        </w:rPr>
        <w:t>Demodocus</w:t>
      </w:r>
      <w:r w:rsidRPr="009E707A">
        <w:rPr>
          <w:rFonts w:eastAsia="Songti TC"/>
          <w:sz w:val="24"/>
          <w:szCs w:val="24"/>
          <w:lang w:val="en-US"/>
        </w:rPr>
        <w:t>）吟诵著名的</w:t>
      </w:r>
      <w:r w:rsidRPr="009E707A">
        <w:rPr>
          <w:rFonts w:eastAsia="Songti TC"/>
          <w:sz w:val="24"/>
          <w:szCs w:val="24"/>
          <w:lang w:val="en-US"/>
        </w:rPr>
        <w:t xml:space="preserve"> "</w:t>
      </w:r>
      <w:r w:rsidRPr="009E707A">
        <w:rPr>
          <w:rFonts w:eastAsia="Songti TC"/>
          <w:sz w:val="24"/>
          <w:szCs w:val="24"/>
          <w:lang w:val="en-US"/>
        </w:rPr>
        <w:t>木马</w:t>
      </w:r>
      <w:r w:rsidRPr="009E707A">
        <w:rPr>
          <w:rFonts w:eastAsia="Songti TC"/>
          <w:sz w:val="24"/>
          <w:szCs w:val="24"/>
          <w:lang w:val="en-US"/>
        </w:rPr>
        <w:t xml:space="preserve"> "</w:t>
      </w:r>
      <w:r w:rsidRPr="009E707A">
        <w:rPr>
          <w:rFonts w:eastAsia="Songti TC"/>
          <w:sz w:val="24"/>
          <w:szCs w:val="24"/>
          <w:lang w:val="en-US"/>
        </w:rPr>
        <w:t>情节</w:t>
      </w:r>
      <w:r w:rsidR="009E707A">
        <w:rPr>
          <w:rStyle w:val="Funotenzeichen"/>
          <w:rFonts w:eastAsia="Songti TC"/>
          <w:sz w:val="24"/>
          <w:szCs w:val="24"/>
          <w:lang w:val="en-US"/>
        </w:rPr>
        <w:footnoteReference w:id="11"/>
      </w:r>
      <w:r w:rsidRPr="009E707A">
        <w:rPr>
          <w:rFonts w:eastAsia="Songti TC"/>
          <w:sz w:val="24"/>
          <w:szCs w:val="24"/>
          <w:lang w:val="en-US"/>
        </w:rPr>
        <w:t>。</w:t>
      </w:r>
      <w:r w:rsidR="009F2A86" w:rsidRPr="009E707A">
        <w:rPr>
          <w:rFonts w:eastAsia="Songti TC"/>
          <w:sz w:val="24"/>
          <w:szCs w:val="24"/>
          <w:lang w:val="en-US"/>
        </w:rPr>
        <w:t>在这个场景中，英雄被放置在吟游诗人面前，而吟游诗人唱着（英雄）自己的冒险，汉娜</w:t>
      </w:r>
      <w:r w:rsidR="009F2A86" w:rsidRPr="009E707A">
        <w:rPr>
          <w:rFonts w:eastAsia="Songti TC"/>
          <w:sz w:val="24"/>
          <w:szCs w:val="24"/>
          <w:lang w:val="en-US"/>
        </w:rPr>
        <w:t>·</w:t>
      </w:r>
      <w:r w:rsidR="009F2A86" w:rsidRPr="009E707A">
        <w:rPr>
          <w:rFonts w:eastAsia="Songti TC"/>
          <w:sz w:val="24"/>
          <w:szCs w:val="24"/>
          <w:lang w:val="en-US"/>
        </w:rPr>
        <w:t>阿伦特看到了历史</w:t>
      </w:r>
      <w:r w:rsidR="004B07A2" w:rsidRPr="009E707A">
        <w:rPr>
          <w:rFonts w:eastAsia="Songti TC"/>
          <w:sz w:val="24"/>
          <w:szCs w:val="24"/>
          <w:lang w:val="en-US"/>
        </w:rPr>
        <w:t>这一</w:t>
      </w:r>
      <w:r w:rsidR="009F2A86" w:rsidRPr="009E707A">
        <w:rPr>
          <w:rFonts w:eastAsia="Songti TC"/>
          <w:sz w:val="24"/>
          <w:szCs w:val="24"/>
          <w:lang w:val="en-US"/>
        </w:rPr>
        <w:t>类别的开始，至少从诗意的意义而言。</w:t>
      </w:r>
      <w:r w:rsidR="009F2A86" w:rsidRPr="009E707A">
        <w:rPr>
          <w:rFonts w:eastAsia="Songti TC"/>
          <w:sz w:val="24"/>
          <w:szCs w:val="24"/>
          <w:lang w:val="en-US"/>
        </w:rPr>
        <w:t xml:space="preserve"> </w:t>
      </w:r>
      <w:r w:rsidR="009F2A86" w:rsidRPr="009E707A">
        <w:rPr>
          <w:rFonts w:eastAsia="Songti TC"/>
          <w:sz w:val="24"/>
          <w:szCs w:val="24"/>
          <w:lang w:val="en-US"/>
        </w:rPr>
        <w:t>她写道：</w:t>
      </w:r>
      <w:r w:rsidR="009F2A86" w:rsidRPr="009E707A">
        <w:rPr>
          <w:rFonts w:eastAsia="Songti TC"/>
          <w:sz w:val="24"/>
          <w:szCs w:val="24"/>
          <w:lang w:val="en-US"/>
        </w:rPr>
        <w:t>"</w:t>
      </w:r>
      <w:r w:rsidR="009F2A86" w:rsidRPr="009E707A">
        <w:rPr>
          <w:rFonts w:eastAsia="Songti TC"/>
          <w:sz w:val="24"/>
          <w:szCs w:val="24"/>
          <w:lang w:val="en-US"/>
        </w:rPr>
        <w:t>曾经纯粹的</w:t>
      </w:r>
      <w:r w:rsidR="00746F1C" w:rsidRPr="009E707A">
        <w:rPr>
          <w:rFonts w:eastAsia="Songti TC"/>
          <w:sz w:val="24"/>
          <w:szCs w:val="24"/>
          <w:lang w:val="en-US"/>
        </w:rPr>
        <w:t>事件</w:t>
      </w:r>
      <w:r w:rsidR="009F2A86" w:rsidRPr="009E707A">
        <w:rPr>
          <w:rFonts w:eastAsia="Songti TC"/>
          <w:sz w:val="24"/>
          <w:szCs w:val="24"/>
          <w:lang w:val="en-US"/>
        </w:rPr>
        <w:t>，如今变成了历史</w:t>
      </w:r>
      <w:r w:rsidR="009F2A86" w:rsidRPr="009E707A">
        <w:rPr>
          <w:rFonts w:eastAsia="Songti TC"/>
          <w:sz w:val="24"/>
          <w:szCs w:val="24"/>
          <w:lang w:val="en-US"/>
        </w:rPr>
        <w:t>"</w:t>
      </w:r>
      <w:r w:rsidR="009E707A">
        <w:rPr>
          <w:rStyle w:val="Funotenzeichen"/>
          <w:rFonts w:eastAsia="Songti TC"/>
          <w:sz w:val="24"/>
          <w:szCs w:val="24"/>
          <w:lang w:val="en-US"/>
        </w:rPr>
        <w:footnoteReference w:id="12"/>
      </w:r>
      <w:r w:rsidR="009F2A86" w:rsidRPr="009E707A">
        <w:rPr>
          <w:rFonts w:eastAsia="Songti TC"/>
          <w:sz w:val="24"/>
          <w:szCs w:val="24"/>
          <w:lang w:val="en-US"/>
        </w:rPr>
        <w:t>。</w:t>
      </w:r>
      <w:r w:rsidR="00F02FB9" w:rsidRPr="009E707A">
        <w:rPr>
          <w:rFonts w:eastAsia="Songti TC"/>
          <w:sz w:val="24"/>
          <w:szCs w:val="24"/>
          <w:lang w:val="en-US"/>
        </w:rPr>
        <w:t>事实上，我们见证了对这一事件的第一次讲述（这构成了这一事件）：初次创造历史。并伴随</w:t>
      </w:r>
      <w:r w:rsidR="00342D83" w:rsidRPr="009E707A">
        <w:rPr>
          <w:rFonts w:eastAsia="Songti TC"/>
          <w:sz w:val="24"/>
          <w:szCs w:val="24"/>
          <w:lang w:val="en-US"/>
        </w:rPr>
        <w:t>如下</w:t>
      </w:r>
      <w:r w:rsidR="00F02FB9" w:rsidRPr="009E707A">
        <w:rPr>
          <w:rFonts w:eastAsia="Songti TC"/>
          <w:sz w:val="24"/>
          <w:szCs w:val="24"/>
          <w:lang w:val="en-US"/>
        </w:rPr>
        <w:t>特点：奥德修斯的出现，证明了</w:t>
      </w:r>
      <w:r w:rsidR="00F02FB9" w:rsidRPr="009E707A">
        <w:rPr>
          <w:rFonts w:eastAsia="Songti TC"/>
          <w:sz w:val="24"/>
          <w:szCs w:val="24"/>
          <w:lang w:val="en-US"/>
        </w:rPr>
        <w:t>"</w:t>
      </w:r>
      <w:r w:rsidR="00F02FB9" w:rsidRPr="009E707A">
        <w:rPr>
          <w:rFonts w:eastAsia="Songti TC"/>
          <w:sz w:val="24"/>
          <w:szCs w:val="24"/>
          <w:lang w:val="en-US"/>
        </w:rPr>
        <w:t>它</w:t>
      </w:r>
      <w:r w:rsidR="00F02FB9" w:rsidRPr="009E707A">
        <w:rPr>
          <w:rFonts w:eastAsia="Songti TC"/>
          <w:sz w:val="24"/>
          <w:szCs w:val="24"/>
          <w:lang w:val="en-US"/>
        </w:rPr>
        <w:t>"</w:t>
      </w:r>
      <w:r w:rsidR="00F02FB9" w:rsidRPr="009E707A">
        <w:rPr>
          <w:rFonts w:eastAsia="Songti TC"/>
          <w:sz w:val="24"/>
          <w:szCs w:val="24"/>
          <w:lang w:val="en-US"/>
        </w:rPr>
        <w:t>真的发生了。这是一种前所未有的构成，甚至是一种反常现象，因为在史诗中，吟游诗人的话语真实性，完全只取决于缪斯的权威</w:t>
      </w:r>
      <w:r w:rsidR="00F02FB9" w:rsidRPr="009E707A">
        <w:rPr>
          <w:rFonts w:eastAsia="Songti TC"/>
          <w:sz w:val="24"/>
          <w:szCs w:val="24"/>
          <w:lang w:val="en-US"/>
        </w:rPr>
        <w:t>——</w:t>
      </w:r>
      <w:r w:rsidR="00F02FB9" w:rsidRPr="009E707A">
        <w:rPr>
          <w:rFonts w:eastAsia="Songti TC"/>
          <w:sz w:val="24"/>
          <w:szCs w:val="24"/>
          <w:lang w:val="en-US"/>
        </w:rPr>
        <w:t>既是灵感来源又是保证人。更进一步说，汉娜</w:t>
      </w:r>
      <w:r w:rsidR="00F02FB9" w:rsidRPr="009E707A">
        <w:rPr>
          <w:rFonts w:eastAsia="Songti TC"/>
          <w:sz w:val="24"/>
          <w:szCs w:val="24"/>
          <w:lang w:val="en-US"/>
        </w:rPr>
        <w:t>·</w:t>
      </w:r>
      <w:r w:rsidR="00F02FB9" w:rsidRPr="009E707A">
        <w:rPr>
          <w:rFonts w:eastAsia="Songti TC"/>
          <w:sz w:val="24"/>
          <w:szCs w:val="24"/>
          <w:lang w:val="en-US"/>
        </w:rPr>
        <w:t>阿伦特认为这一幕是历史和诗歌的典范，因为</w:t>
      </w:r>
      <w:r w:rsidR="00F02FB9" w:rsidRPr="009E707A">
        <w:rPr>
          <w:rFonts w:eastAsia="Songti TC"/>
          <w:sz w:val="24"/>
          <w:szCs w:val="24"/>
          <w:lang w:val="en-US"/>
        </w:rPr>
        <w:t xml:space="preserve"> "</w:t>
      </w:r>
      <w:r w:rsidR="00F02FB9" w:rsidRPr="009E707A">
        <w:rPr>
          <w:rFonts w:eastAsia="Songti TC"/>
          <w:sz w:val="24"/>
          <w:szCs w:val="24"/>
          <w:lang w:val="en-US"/>
        </w:rPr>
        <w:t>与现实的和解、宣泄（净化），根据亚里士多德的说法，是悲剧的本质，根据黑格尔的说法，则是历史的最终目的，是借助回忆之泪来实现的</w:t>
      </w:r>
      <w:r w:rsidR="009E707A">
        <w:rPr>
          <w:rStyle w:val="Funotenzeichen"/>
          <w:rFonts w:eastAsia="Songti TC"/>
          <w:sz w:val="24"/>
          <w:szCs w:val="24"/>
          <w:lang w:val="en-US"/>
        </w:rPr>
        <w:footnoteReference w:id="13"/>
      </w:r>
      <w:r w:rsidR="00F02FB9" w:rsidRPr="009E707A">
        <w:rPr>
          <w:rFonts w:eastAsia="Songti TC"/>
          <w:sz w:val="24"/>
          <w:szCs w:val="24"/>
          <w:lang w:val="en-US"/>
        </w:rPr>
        <w:t>"</w:t>
      </w:r>
      <w:r w:rsidR="009E707A">
        <w:rPr>
          <w:rFonts w:eastAsia="Songti TC" w:hint="eastAsia"/>
          <w:sz w:val="24"/>
          <w:szCs w:val="24"/>
          <w:lang w:val="en-US"/>
        </w:rPr>
        <w:t>。</w:t>
      </w:r>
    </w:p>
    <w:p w14:paraId="265F498F" w14:textId="70AC400A" w:rsidR="0061189F" w:rsidRPr="009E707A" w:rsidRDefault="0061189F" w:rsidP="0061189F">
      <w:pPr>
        <w:rPr>
          <w:rFonts w:eastAsia="Songti TC"/>
          <w:sz w:val="24"/>
          <w:szCs w:val="24"/>
          <w:lang w:val="en-US"/>
        </w:rPr>
      </w:pPr>
      <w:r w:rsidRPr="009E707A">
        <w:rPr>
          <w:rFonts w:eastAsia="Songti TC"/>
          <w:sz w:val="24"/>
          <w:szCs w:val="24"/>
          <w:lang w:val="en-US"/>
        </w:rPr>
        <w:t>"</w:t>
      </w:r>
      <w:r w:rsidRPr="009E707A">
        <w:rPr>
          <w:rFonts w:eastAsia="Songti TC"/>
          <w:sz w:val="24"/>
          <w:szCs w:val="24"/>
          <w:lang w:val="en-US"/>
        </w:rPr>
        <w:t>缪斯啊，请告诉我，那个有着诸多手法之人</w:t>
      </w:r>
      <w:r w:rsidR="009E707A">
        <w:rPr>
          <w:rFonts w:eastAsia="Songti TC"/>
          <w:sz w:val="24"/>
          <w:szCs w:val="24"/>
          <w:lang w:val="en-US"/>
        </w:rPr>
        <w:t>······</w:t>
      </w:r>
      <w:r w:rsidRPr="009E707A">
        <w:rPr>
          <w:rFonts w:eastAsia="Songti TC"/>
          <w:sz w:val="24"/>
          <w:szCs w:val="24"/>
          <w:lang w:val="en-US"/>
        </w:rPr>
        <w:t>"</w:t>
      </w:r>
      <w:r w:rsidRPr="009E707A">
        <w:rPr>
          <w:rFonts w:eastAsia="Songti TC"/>
          <w:sz w:val="24"/>
          <w:szCs w:val="24"/>
          <w:lang w:val="en-US"/>
        </w:rPr>
        <w:t>这是史诗的开篇之作。缪斯，记忆之</w:t>
      </w:r>
      <w:r w:rsidRPr="009E707A">
        <w:rPr>
          <w:rFonts w:eastAsia="Songti TC"/>
          <w:sz w:val="24"/>
          <w:szCs w:val="24"/>
          <w:lang w:val="en-US"/>
        </w:rPr>
        <w:lastRenderedPageBreak/>
        <w:t>女，灵感之源，是诗人之歌的保证人。随着第一部历史的诞生，口头世界的王国已经结束。散文取代了诗歌；书写占据了主导地位；缪斯消失了。取而代之的，是一个新的世界和一种新的叙事经济（</w:t>
      </w:r>
      <w:r w:rsidRPr="009E707A">
        <w:rPr>
          <w:rFonts w:eastAsia="Songti TC"/>
          <w:sz w:val="24"/>
          <w:szCs w:val="24"/>
          <w:lang w:val="en-US"/>
        </w:rPr>
        <w:t xml:space="preserve">narrative economy </w:t>
      </w:r>
      <w:r w:rsidRPr="009E707A">
        <w:rPr>
          <w:rFonts w:eastAsia="Songti TC"/>
          <w:sz w:val="24"/>
          <w:szCs w:val="24"/>
          <w:lang w:val="en-US"/>
        </w:rPr>
        <w:t>）的出现。</w:t>
      </w:r>
      <w:r w:rsidRPr="009E707A">
        <w:rPr>
          <w:rFonts w:eastAsia="Songti TC"/>
          <w:sz w:val="24"/>
          <w:szCs w:val="24"/>
          <w:lang w:val="en-US"/>
        </w:rPr>
        <w:t xml:space="preserve"> "</w:t>
      </w:r>
      <w:r w:rsidRPr="009E707A">
        <w:rPr>
          <w:rFonts w:eastAsia="Songti TC"/>
          <w:sz w:val="24"/>
          <w:szCs w:val="24"/>
          <w:lang w:val="en-US"/>
        </w:rPr>
        <w:t>哈利卡纳修斯（</w:t>
      </w:r>
      <w:r w:rsidRPr="009E707A">
        <w:rPr>
          <w:rFonts w:eastAsia="Songti TC"/>
          <w:sz w:val="24"/>
          <w:szCs w:val="24"/>
          <w:lang w:val="en-US"/>
        </w:rPr>
        <w:t>Halicarnassian</w:t>
      </w:r>
      <w:r w:rsidRPr="009E707A">
        <w:rPr>
          <w:rFonts w:eastAsia="Songti TC"/>
          <w:sz w:val="24"/>
          <w:szCs w:val="24"/>
          <w:lang w:val="en-US"/>
        </w:rPr>
        <w:t>）的希罗多德，通过调查了解到的情况就是如此（他的历史的阐述</w:t>
      </w:r>
      <w:r w:rsidRPr="009E707A">
        <w:rPr>
          <w:rFonts w:eastAsia="Songti TC"/>
          <w:sz w:val="24"/>
          <w:szCs w:val="24"/>
          <w:lang w:val="en-US"/>
        </w:rPr>
        <w:t xml:space="preserve">..." </w:t>
      </w:r>
      <w:r w:rsidRPr="009E707A">
        <w:rPr>
          <w:rFonts w:eastAsia="Songti TC"/>
          <w:sz w:val="24"/>
          <w:szCs w:val="24"/>
          <w:lang w:val="en-US"/>
        </w:rPr>
        <w:t>在不为任何特定权力服务的情况下，他的第一句话就开始定义和宣称叙事形式，而这种叙事形式，则是从他使用自己的名字开始的。他是他叙述（</w:t>
      </w:r>
      <w:r w:rsidR="008203BD" w:rsidRPr="009E707A">
        <w:rPr>
          <w:rFonts w:eastAsia="Songti TC"/>
          <w:sz w:val="24"/>
          <w:szCs w:val="24"/>
          <w:lang w:val="en-US"/>
        </w:rPr>
        <w:t>罗格斯（</w:t>
      </w:r>
      <w:r w:rsidRPr="009E707A">
        <w:rPr>
          <w:rFonts w:eastAsia="Songti TC"/>
          <w:sz w:val="24"/>
          <w:szCs w:val="24"/>
          <w:lang w:val="en-US"/>
        </w:rPr>
        <w:t>logos</w:t>
      </w:r>
      <w:r w:rsidR="008203BD" w:rsidRPr="009E707A">
        <w:rPr>
          <w:rFonts w:eastAsia="Songti TC"/>
          <w:sz w:val="24"/>
          <w:szCs w:val="24"/>
          <w:lang w:val="en-US"/>
        </w:rPr>
        <w:t>）</w:t>
      </w:r>
      <w:r w:rsidRPr="009E707A">
        <w:rPr>
          <w:rFonts w:eastAsia="Songti TC"/>
          <w:sz w:val="24"/>
          <w:szCs w:val="24"/>
          <w:lang w:val="en-US"/>
        </w:rPr>
        <w:t>）的作者，正是这种叙述确立了他的权威。矛盾之处在于，与此同时，这个新的已宣称的权威还没有被完全构建起来。这种叙事策略，是希腊思想史上这一刻的特征，它标记着与东方历史编撰学家的决裂。如果说希腊人是什么的发明者，他们发明的是历史学家而非历史。这种自我肯定和写作的模式远非一种纯粹的历史编撰学现象。恰恰相反，它们是这个思想史时期（公元前</w:t>
      </w:r>
      <w:r w:rsidRPr="009E707A">
        <w:rPr>
          <w:rFonts w:eastAsia="Songti TC"/>
          <w:sz w:val="24"/>
          <w:szCs w:val="24"/>
          <w:lang w:val="en-US"/>
        </w:rPr>
        <w:t>6-5</w:t>
      </w:r>
      <w:r w:rsidRPr="009E707A">
        <w:rPr>
          <w:rFonts w:eastAsia="Songti TC"/>
          <w:sz w:val="24"/>
          <w:szCs w:val="24"/>
          <w:lang w:val="en-US"/>
        </w:rPr>
        <w:t>世纪）的记号，甚至是注写，这一时期见证了艺术家、哲学家、医生中的</w:t>
      </w:r>
      <w:r w:rsidRPr="009E707A">
        <w:rPr>
          <w:rFonts w:eastAsia="Songti TC"/>
          <w:sz w:val="24"/>
          <w:szCs w:val="24"/>
          <w:lang w:val="en-US"/>
        </w:rPr>
        <w:t>"</w:t>
      </w:r>
      <w:r w:rsidRPr="009E707A">
        <w:rPr>
          <w:rFonts w:eastAsia="Songti TC"/>
          <w:sz w:val="24"/>
          <w:szCs w:val="24"/>
          <w:lang w:val="en-US"/>
        </w:rPr>
        <w:t>自我主义</w:t>
      </w:r>
      <w:r w:rsidRPr="009E707A">
        <w:rPr>
          <w:rFonts w:eastAsia="Songti TC"/>
          <w:sz w:val="24"/>
          <w:szCs w:val="24"/>
          <w:lang w:val="en-US"/>
        </w:rPr>
        <w:t>"</w:t>
      </w:r>
      <w:r w:rsidRPr="009E707A">
        <w:rPr>
          <w:rFonts w:eastAsia="Songti TC"/>
          <w:sz w:val="24"/>
          <w:szCs w:val="24"/>
          <w:lang w:val="en-US"/>
        </w:rPr>
        <w:t>的崛起</w:t>
      </w:r>
      <w:r w:rsidR="009E707A">
        <w:rPr>
          <w:rStyle w:val="Funotenzeichen"/>
          <w:rFonts w:eastAsia="Songti TC"/>
          <w:sz w:val="24"/>
          <w:szCs w:val="24"/>
          <w:lang w:val="en-US"/>
        </w:rPr>
        <w:footnoteReference w:id="14"/>
      </w:r>
      <w:r w:rsidRPr="009E707A">
        <w:rPr>
          <w:rFonts w:eastAsia="Songti TC"/>
          <w:sz w:val="24"/>
          <w:szCs w:val="24"/>
          <w:lang w:val="en-US"/>
        </w:rPr>
        <w:t>。</w:t>
      </w:r>
    </w:p>
    <w:p w14:paraId="65B605F5" w14:textId="71F5919A" w:rsidR="005D7729" w:rsidRPr="009E707A" w:rsidRDefault="004C70A7" w:rsidP="00BA502A">
      <w:pPr>
        <w:rPr>
          <w:rFonts w:eastAsia="Songti TC"/>
          <w:sz w:val="24"/>
          <w:szCs w:val="24"/>
        </w:rPr>
      </w:pPr>
      <w:r w:rsidRPr="009E707A">
        <w:rPr>
          <w:rFonts w:eastAsia="Songti TC"/>
          <w:sz w:val="24"/>
          <w:szCs w:val="24"/>
        </w:rPr>
        <w:t>这种新的话语形式和这一独特的图景，并非</w:t>
      </w:r>
      <w:r w:rsidR="00E32E44" w:rsidRPr="009E707A">
        <w:rPr>
          <w:rFonts w:eastAsia="Songti TC"/>
          <w:sz w:val="24"/>
          <w:szCs w:val="24"/>
        </w:rPr>
        <w:t>诞自真空</w:t>
      </w:r>
      <w:r w:rsidRPr="009E707A">
        <w:rPr>
          <w:rFonts w:eastAsia="Songti TC"/>
          <w:sz w:val="24"/>
          <w:szCs w:val="24"/>
        </w:rPr>
        <w:t>。希罗多德于希波战争，正是采取了荷马对特洛伊战争的写法。写历史意味着从冲突开始，通过固定的</w:t>
      </w:r>
      <w:r w:rsidRPr="009E707A">
        <w:rPr>
          <w:rFonts w:eastAsia="Songti TC"/>
          <w:sz w:val="24"/>
          <w:szCs w:val="24"/>
        </w:rPr>
        <w:t xml:space="preserve"> "</w:t>
      </w:r>
      <w:r w:rsidRPr="009E707A">
        <w:rPr>
          <w:rFonts w:eastAsia="Songti TC"/>
          <w:sz w:val="24"/>
          <w:szCs w:val="24"/>
        </w:rPr>
        <w:t>起源</w:t>
      </w:r>
      <w:r w:rsidRPr="009E707A">
        <w:rPr>
          <w:rFonts w:eastAsia="Songti TC"/>
          <w:sz w:val="24"/>
          <w:szCs w:val="24"/>
        </w:rPr>
        <w:t xml:space="preserve"> "</w:t>
      </w:r>
      <w:r w:rsidRPr="009E707A">
        <w:rPr>
          <w:rFonts w:eastAsia="Songti TC"/>
          <w:sz w:val="24"/>
          <w:szCs w:val="24"/>
        </w:rPr>
        <w:t>来讲述一场伟大战争的故事。《圣经》讲述了一个肇始自世间之处的连续故事，与之相反，第一批希腊历史学家确定了一个出发点，并将自己限制在对一组特定的事件之叙述上</w:t>
      </w:r>
      <w:r w:rsidR="009E707A">
        <w:rPr>
          <w:rStyle w:val="Funotenzeichen"/>
          <w:rFonts w:eastAsia="Songti TC"/>
          <w:sz w:val="24"/>
          <w:szCs w:val="24"/>
        </w:rPr>
        <w:footnoteReference w:id="15"/>
      </w:r>
      <w:r w:rsidRPr="009E707A">
        <w:rPr>
          <w:rFonts w:eastAsia="Songti TC"/>
          <w:sz w:val="24"/>
          <w:szCs w:val="24"/>
        </w:rPr>
        <w:t>。</w:t>
      </w:r>
    </w:p>
    <w:p w14:paraId="681C6E7A" w14:textId="23F60700" w:rsidR="00D514AE" w:rsidRPr="009E707A" w:rsidRDefault="00A10E56" w:rsidP="00D514AE">
      <w:pPr>
        <w:rPr>
          <w:rFonts w:eastAsia="Songti TC"/>
          <w:sz w:val="24"/>
          <w:szCs w:val="24"/>
        </w:rPr>
      </w:pPr>
      <w:r w:rsidRPr="009E707A">
        <w:rPr>
          <w:rFonts w:eastAsia="Songti TC"/>
          <w:sz w:val="24"/>
          <w:szCs w:val="24"/>
        </w:rPr>
        <w:t>像吟游诗人一样，历史学家处理记忆、遗忘和死亡问题。古代的吟游诗人是荣耀（</w:t>
      </w:r>
      <w:r w:rsidRPr="009E707A">
        <w:rPr>
          <w:rFonts w:eastAsia="Songti TC"/>
          <w:sz w:val="24"/>
          <w:szCs w:val="24"/>
        </w:rPr>
        <w:t>kleos</w:t>
      </w:r>
      <w:r w:rsidRPr="009E707A">
        <w:rPr>
          <w:rFonts w:eastAsia="Songti TC"/>
          <w:sz w:val="24"/>
          <w:szCs w:val="24"/>
        </w:rPr>
        <w:t>）的掌控者，是对在战争中光荣牺牲的英雄的不朽颂词的传播者。希罗多德只想确保人们事迹的痕迹，确保他们产生的纪念物不会消失，不会停止被叙述和颂扬。如果历史学家不断提及史诗，他就会给出比吟游诗人更谦虚的主张</w:t>
      </w:r>
      <w:r w:rsidR="009E707A">
        <w:rPr>
          <w:rStyle w:val="Funotenzeichen"/>
          <w:rFonts w:eastAsia="Songti TC"/>
          <w:sz w:val="24"/>
          <w:szCs w:val="24"/>
        </w:rPr>
        <w:footnoteReference w:id="16"/>
      </w:r>
      <w:r w:rsidRPr="009E707A">
        <w:rPr>
          <w:rFonts w:eastAsia="Songti TC"/>
          <w:sz w:val="24"/>
          <w:szCs w:val="24"/>
        </w:rPr>
        <w:t>。</w:t>
      </w:r>
      <w:r w:rsidR="00D514AE" w:rsidRPr="009E707A">
        <w:rPr>
          <w:rFonts w:eastAsia="Songti TC"/>
          <w:sz w:val="24"/>
          <w:szCs w:val="24"/>
        </w:rPr>
        <w:t>他仿佛知道，古时关于不朽的</w:t>
      </w:r>
      <w:r w:rsidR="00D514AE" w:rsidRPr="009E707A">
        <w:rPr>
          <w:rFonts w:eastAsia="Songti TC"/>
          <w:sz w:val="24"/>
          <w:szCs w:val="24"/>
        </w:rPr>
        <w:lastRenderedPageBreak/>
        <w:t>承诺永远不可能再被说出，除非是作为一种否定：作为一种延迟忘却的承诺。同样地，吟游诗人的专业领域，涵盖了</w:t>
      </w:r>
      <w:r w:rsidR="00D514AE" w:rsidRPr="009E707A">
        <w:rPr>
          <w:rFonts w:eastAsia="Songti TC"/>
          <w:sz w:val="24"/>
          <w:szCs w:val="24"/>
        </w:rPr>
        <w:t>"</w:t>
      </w:r>
      <w:r w:rsidR="00D514AE" w:rsidRPr="009E707A">
        <w:rPr>
          <w:rFonts w:eastAsia="Songti TC"/>
          <w:sz w:val="24"/>
          <w:szCs w:val="24"/>
        </w:rPr>
        <w:t>英雄和诸神的事迹</w:t>
      </w:r>
      <w:r w:rsidR="00D514AE" w:rsidRPr="009E707A">
        <w:rPr>
          <w:rFonts w:eastAsia="Songti TC"/>
          <w:sz w:val="24"/>
          <w:szCs w:val="24"/>
        </w:rPr>
        <w:t>"</w:t>
      </w:r>
      <w:r w:rsidR="00D514AE" w:rsidRPr="009E707A">
        <w:rPr>
          <w:rFonts w:eastAsia="Songti TC"/>
          <w:sz w:val="24"/>
          <w:szCs w:val="24"/>
        </w:rPr>
        <w:t>，而历史学家则将自己限制于</w:t>
      </w:r>
      <w:r w:rsidR="00D514AE" w:rsidRPr="009E707A">
        <w:rPr>
          <w:rFonts w:eastAsia="Songti TC"/>
          <w:sz w:val="24"/>
          <w:szCs w:val="24"/>
        </w:rPr>
        <w:t xml:space="preserve"> "</w:t>
      </w:r>
      <w:r w:rsidR="00D514AE" w:rsidRPr="009E707A">
        <w:rPr>
          <w:rFonts w:eastAsia="Songti TC"/>
          <w:sz w:val="24"/>
          <w:szCs w:val="24"/>
        </w:rPr>
        <w:t>人的事迹</w:t>
      </w:r>
      <w:r w:rsidR="00D514AE" w:rsidRPr="009E707A">
        <w:rPr>
          <w:rFonts w:eastAsia="Songti TC"/>
          <w:sz w:val="24"/>
          <w:szCs w:val="24"/>
        </w:rPr>
        <w:t xml:space="preserve"> "</w:t>
      </w:r>
      <w:r w:rsidR="00D514AE" w:rsidRPr="009E707A">
        <w:rPr>
          <w:rFonts w:eastAsia="Songti TC"/>
          <w:sz w:val="24"/>
          <w:szCs w:val="24"/>
        </w:rPr>
        <w:t>上，而这一（历史学家的）时代本身就被定义为</w:t>
      </w:r>
      <w:r w:rsidR="00D514AE" w:rsidRPr="009E707A">
        <w:rPr>
          <w:rFonts w:eastAsia="Songti TC"/>
          <w:sz w:val="24"/>
          <w:szCs w:val="24"/>
        </w:rPr>
        <w:t>"</w:t>
      </w:r>
      <w:r w:rsidR="00D514AE" w:rsidRPr="009E707A">
        <w:rPr>
          <w:rFonts w:eastAsia="Songti TC"/>
          <w:sz w:val="24"/>
          <w:szCs w:val="24"/>
        </w:rPr>
        <w:t>人的时代</w:t>
      </w:r>
      <w:r w:rsidR="00D514AE" w:rsidRPr="009E707A">
        <w:rPr>
          <w:rFonts w:eastAsia="Songti TC"/>
          <w:sz w:val="24"/>
          <w:szCs w:val="24"/>
        </w:rPr>
        <w:t>"</w:t>
      </w:r>
      <w:r w:rsidR="00D514AE" w:rsidRPr="009E707A">
        <w:rPr>
          <w:rFonts w:eastAsia="Songti TC"/>
          <w:sz w:val="24"/>
          <w:szCs w:val="24"/>
        </w:rPr>
        <w:t>。他增加了关乎选择的原则：选择那些伟大的、能诱发人们惊异的事物。因此，他为自己提供了一种衡量事件差异和规整世界多样性的手段。</w:t>
      </w:r>
    </w:p>
    <w:p w14:paraId="25C72AAB" w14:textId="68983C69" w:rsidR="00D514AE" w:rsidRPr="009E707A" w:rsidRDefault="00D514AE" w:rsidP="00D514AE">
      <w:pPr>
        <w:rPr>
          <w:rFonts w:eastAsia="Songti TC"/>
          <w:sz w:val="24"/>
          <w:szCs w:val="24"/>
        </w:rPr>
      </w:pPr>
      <w:r w:rsidRPr="009E707A">
        <w:rPr>
          <w:rFonts w:eastAsia="Songti TC"/>
          <w:sz w:val="24"/>
          <w:szCs w:val="24"/>
        </w:rPr>
        <w:t>标志性的词汇询查（</w:t>
      </w:r>
      <w:r w:rsidRPr="009E707A">
        <w:rPr>
          <w:rFonts w:eastAsia="Songti TC"/>
          <w:sz w:val="24"/>
          <w:szCs w:val="24"/>
        </w:rPr>
        <w:t>historia</w:t>
      </w:r>
      <w:r w:rsidRPr="009E707A">
        <w:rPr>
          <w:rFonts w:eastAsia="Songti TC"/>
          <w:sz w:val="24"/>
          <w:szCs w:val="24"/>
        </w:rPr>
        <w:t>），逐渐占据了上风（尽管修昔底德本人尽可能从不使用它）。这是一个抽象的词，由动词</w:t>
      </w:r>
      <w:r w:rsidRPr="009E707A">
        <w:rPr>
          <w:rFonts w:eastAsia="Songti TC"/>
          <w:sz w:val="24"/>
          <w:szCs w:val="24"/>
        </w:rPr>
        <w:t>historein</w:t>
      </w:r>
      <w:r w:rsidRPr="009E707A">
        <w:rPr>
          <w:rFonts w:eastAsia="Songti TC"/>
          <w:sz w:val="24"/>
          <w:szCs w:val="24"/>
        </w:rPr>
        <w:t>（询问）构成。这个词的所有含义就是去询问，也就是自己去看。它更多表达的是一种思想状态和方法，而非一个具体的领域。这是一个属于希腊思想史上的那个时刻的词。询查（</w:t>
      </w:r>
      <w:r w:rsidRPr="009E707A">
        <w:rPr>
          <w:rFonts w:eastAsia="Songti TC"/>
          <w:sz w:val="24"/>
          <w:szCs w:val="24"/>
        </w:rPr>
        <w:t>Historia</w:t>
      </w:r>
      <w:r w:rsidRPr="009E707A">
        <w:rPr>
          <w:rFonts w:eastAsia="Songti TC"/>
          <w:sz w:val="24"/>
          <w:szCs w:val="24"/>
        </w:rPr>
        <w:t>）源于见证者（</w:t>
      </w:r>
      <w:r w:rsidRPr="009E707A">
        <w:rPr>
          <w:rFonts w:eastAsia="Songti TC"/>
          <w:sz w:val="24"/>
          <w:szCs w:val="24"/>
        </w:rPr>
        <w:t>histôr</w:t>
      </w:r>
      <w:r w:rsidRPr="009E707A">
        <w:rPr>
          <w:rFonts w:eastAsia="Songti TC"/>
          <w:sz w:val="24"/>
          <w:szCs w:val="24"/>
        </w:rPr>
        <w:t>），它与</w:t>
      </w:r>
      <w:r w:rsidRPr="009E707A">
        <w:rPr>
          <w:rFonts w:eastAsia="Songti TC"/>
          <w:sz w:val="24"/>
          <w:szCs w:val="24"/>
        </w:rPr>
        <w:t>idein</w:t>
      </w:r>
      <w:r w:rsidRPr="009E707A">
        <w:rPr>
          <w:rFonts w:eastAsia="Songti TC"/>
          <w:sz w:val="24"/>
          <w:szCs w:val="24"/>
        </w:rPr>
        <w:t>（看）和</w:t>
      </w:r>
      <w:r w:rsidRPr="009E707A">
        <w:rPr>
          <w:rFonts w:eastAsia="Songti TC"/>
          <w:sz w:val="24"/>
          <w:szCs w:val="24"/>
        </w:rPr>
        <w:t>oida</w:t>
      </w:r>
      <w:r w:rsidRPr="009E707A">
        <w:rPr>
          <w:rFonts w:eastAsia="Songti TC"/>
          <w:sz w:val="24"/>
          <w:szCs w:val="24"/>
        </w:rPr>
        <w:t>（我知道）有关。因此，见证者在史诗中多次出现，但并非作为一个目击者，只是作为一个仲裁者，或者更好的表达是，在分歧的背景下作为一个担保人：他从来没有亲眼见证任何（对他）利害攸关。</w:t>
      </w:r>
    </w:p>
    <w:p w14:paraId="648AD964" w14:textId="2EC6064C" w:rsidR="00D514AE" w:rsidRPr="009E707A" w:rsidRDefault="00D514AE" w:rsidP="00D514AE">
      <w:pPr>
        <w:rPr>
          <w:rFonts w:eastAsia="Songti TC"/>
          <w:sz w:val="24"/>
          <w:szCs w:val="24"/>
        </w:rPr>
      </w:pPr>
      <w:r w:rsidRPr="009E707A">
        <w:rPr>
          <w:rFonts w:eastAsia="Songti TC"/>
          <w:sz w:val="24"/>
          <w:szCs w:val="24"/>
        </w:rPr>
        <w:t>希罗多德既不是吟游诗人，甚至也不是见证者：他询查，他调查。他不具备见证者的自然权威，也没有从吟游诗人的神圣视野中获益。他唯有去询查，一种特定的调查形式，这是他历史学实践的第一步。作为一种替代物，询查的运作方式，类似于缪斯的全知视角，她知晓一切，因为她的神性使她</w:t>
      </w:r>
      <w:r w:rsidRPr="009E707A">
        <w:rPr>
          <w:rFonts w:eastAsia="Songti TC"/>
          <w:sz w:val="24"/>
          <w:szCs w:val="24"/>
        </w:rPr>
        <w:t xml:space="preserve"> "</w:t>
      </w:r>
      <w:r w:rsidRPr="009E707A">
        <w:rPr>
          <w:rFonts w:eastAsia="Songti TC"/>
          <w:sz w:val="24"/>
          <w:szCs w:val="24"/>
        </w:rPr>
        <w:t>无处不在</w:t>
      </w:r>
      <w:r w:rsidRPr="009E707A">
        <w:rPr>
          <w:rFonts w:eastAsia="Songti TC"/>
          <w:sz w:val="24"/>
          <w:szCs w:val="24"/>
        </w:rPr>
        <w:t>"</w:t>
      </w:r>
      <w:r w:rsidRPr="009E707A">
        <w:rPr>
          <w:rFonts w:eastAsia="Songti TC"/>
          <w:sz w:val="24"/>
          <w:szCs w:val="24"/>
        </w:rPr>
        <w:t>。而历史学家，除了他自己以外别无权威，从现在开始，他打算</w:t>
      </w:r>
      <w:r w:rsidRPr="009E707A">
        <w:rPr>
          <w:rFonts w:eastAsia="Songti TC"/>
          <w:sz w:val="24"/>
          <w:szCs w:val="24"/>
        </w:rPr>
        <w:t>"</w:t>
      </w:r>
      <w:r w:rsidRPr="009E707A">
        <w:rPr>
          <w:rFonts w:eastAsia="Songti TC"/>
          <w:sz w:val="24"/>
          <w:szCs w:val="24"/>
        </w:rPr>
        <w:t>继续他的描述，对小城和大城都要去讲述。因为许多曾经伟大的国家，如今已经变得很小了</w:t>
      </w:r>
      <w:r w:rsidR="009E707A">
        <w:rPr>
          <w:rStyle w:val="Funotenzeichen"/>
          <w:rFonts w:eastAsia="Songti TC"/>
          <w:sz w:val="24"/>
          <w:szCs w:val="24"/>
        </w:rPr>
        <w:footnoteReference w:id="17"/>
      </w:r>
      <w:r w:rsidRPr="009E707A">
        <w:rPr>
          <w:rFonts w:eastAsia="Songti TC"/>
          <w:sz w:val="24"/>
          <w:szCs w:val="24"/>
        </w:rPr>
        <w:t>。</w:t>
      </w:r>
    </w:p>
    <w:p w14:paraId="44BD89C3" w14:textId="2C5CAA47" w:rsidR="00167A90" w:rsidRPr="009E707A" w:rsidRDefault="00167A90" w:rsidP="00D514AE">
      <w:pPr>
        <w:rPr>
          <w:rFonts w:eastAsia="Songti TC"/>
          <w:sz w:val="24"/>
          <w:szCs w:val="24"/>
        </w:rPr>
      </w:pPr>
      <w:r w:rsidRPr="009E707A">
        <w:rPr>
          <w:rFonts w:eastAsia="Songti TC"/>
          <w:sz w:val="24"/>
          <w:szCs w:val="24"/>
        </w:rPr>
        <w:t>如果询问（如此定义）既唤起吟游诗人的智慧，又与之决裂的话，希罗多德还呼吁第二种知识（我们已经谈论过），即占卜性的知识。希罗多德是</w:t>
      </w:r>
      <w:r w:rsidRPr="009E707A">
        <w:rPr>
          <w:rFonts w:eastAsia="Songti TC"/>
          <w:sz w:val="24"/>
          <w:szCs w:val="24"/>
        </w:rPr>
        <w:t xml:space="preserve"> </w:t>
      </w:r>
      <w:r w:rsidRPr="009E707A">
        <w:rPr>
          <w:rFonts w:eastAsia="Songti TC"/>
          <w:sz w:val="24"/>
          <w:szCs w:val="24"/>
        </w:rPr>
        <w:t>在</w:t>
      </w:r>
      <w:r w:rsidRPr="009E707A">
        <w:rPr>
          <w:rFonts w:eastAsia="Songti TC"/>
          <w:sz w:val="24"/>
          <w:szCs w:val="24"/>
        </w:rPr>
        <w:t>"</w:t>
      </w:r>
      <w:r w:rsidRPr="009E707A">
        <w:rPr>
          <w:rFonts w:eastAsia="Songti TC"/>
          <w:sz w:val="24"/>
          <w:szCs w:val="24"/>
        </w:rPr>
        <w:t>探查</w:t>
      </w:r>
      <w:r w:rsidRPr="009E707A">
        <w:rPr>
          <w:rFonts w:eastAsia="Songti TC"/>
          <w:sz w:val="24"/>
          <w:szCs w:val="24"/>
        </w:rPr>
        <w:t>"</w:t>
      </w:r>
      <w:r w:rsidRPr="009E707A">
        <w:rPr>
          <w:rFonts w:eastAsia="Songti TC"/>
          <w:sz w:val="24"/>
          <w:szCs w:val="24"/>
        </w:rPr>
        <w:t>（</w:t>
      </w:r>
      <w:r w:rsidRPr="009E707A">
        <w:rPr>
          <w:rFonts w:eastAsia="Songti TC"/>
          <w:sz w:val="24"/>
          <w:szCs w:val="24"/>
        </w:rPr>
        <w:t>historei</w:t>
      </w:r>
      <w:r w:rsidRPr="009E707A">
        <w:rPr>
          <w:rFonts w:eastAsia="Songti TC"/>
          <w:sz w:val="24"/>
          <w:szCs w:val="24"/>
        </w:rPr>
        <w:t>），但他也是在</w:t>
      </w:r>
      <w:r w:rsidRPr="009E707A">
        <w:rPr>
          <w:rFonts w:eastAsia="Songti TC"/>
          <w:sz w:val="24"/>
          <w:szCs w:val="24"/>
        </w:rPr>
        <w:t>"</w:t>
      </w:r>
      <w:r w:rsidR="00096DC9" w:rsidRPr="009E707A">
        <w:rPr>
          <w:rFonts w:eastAsia="Songti TC"/>
          <w:sz w:val="24"/>
          <w:szCs w:val="24"/>
        </w:rPr>
        <w:t>意显</w:t>
      </w:r>
      <w:r w:rsidRPr="009E707A">
        <w:rPr>
          <w:rFonts w:eastAsia="Songti TC"/>
          <w:sz w:val="24"/>
          <w:szCs w:val="24"/>
        </w:rPr>
        <w:t>"</w:t>
      </w:r>
      <w:r w:rsidRPr="009E707A">
        <w:rPr>
          <w:rFonts w:eastAsia="Songti TC"/>
          <w:sz w:val="24"/>
          <w:szCs w:val="24"/>
        </w:rPr>
        <w:t>（</w:t>
      </w:r>
      <w:r w:rsidRPr="009E707A">
        <w:rPr>
          <w:rFonts w:eastAsia="Songti TC"/>
          <w:sz w:val="24"/>
          <w:szCs w:val="24"/>
        </w:rPr>
        <w:t>sêmainei</w:t>
      </w:r>
      <w:r w:rsidRPr="009E707A">
        <w:rPr>
          <w:rFonts w:eastAsia="Songti TC"/>
          <w:sz w:val="24"/>
          <w:szCs w:val="24"/>
        </w:rPr>
        <w:t>）。他调查，他展示，他揭示，他表示。</w:t>
      </w:r>
      <w:r w:rsidR="00096DC9" w:rsidRPr="009E707A">
        <w:rPr>
          <w:rFonts w:eastAsia="Songti TC"/>
          <w:sz w:val="24"/>
          <w:szCs w:val="24"/>
        </w:rPr>
        <w:t>意显</w:t>
      </w:r>
      <w:r w:rsidRPr="009E707A">
        <w:rPr>
          <w:rFonts w:eastAsia="Songti TC"/>
          <w:sz w:val="24"/>
          <w:szCs w:val="24"/>
        </w:rPr>
        <w:t>（</w:t>
      </w:r>
      <w:r w:rsidRPr="009E707A">
        <w:rPr>
          <w:rFonts w:eastAsia="Songti TC"/>
          <w:sz w:val="24"/>
          <w:szCs w:val="24"/>
        </w:rPr>
        <w:t>Sêmainein</w:t>
      </w:r>
      <w:r w:rsidRPr="009E707A">
        <w:rPr>
          <w:rFonts w:eastAsia="Songti TC"/>
          <w:sz w:val="24"/>
          <w:szCs w:val="24"/>
        </w:rPr>
        <w:t>）一</w:t>
      </w:r>
      <w:r w:rsidRPr="009E707A">
        <w:rPr>
          <w:rFonts w:eastAsia="Songti TC"/>
          <w:sz w:val="24"/>
          <w:szCs w:val="24"/>
        </w:rPr>
        <w:lastRenderedPageBreak/>
        <w:t>词，用于指某人看到了别人没有或不可能看到的东西，并作出报告，而</w:t>
      </w:r>
      <w:r w:rsidR="00AE2AA7" w:rsidRPr="009E707A">
        <w:rPr>
          <w:rFonts w:eastAsia="Songti TC"/>
          <w:sz w:val="24"/>
          <w:szCs w:val="24"/>
        </w:rPr>
        <w:t>其</w:t>
      </w:r>
      <w:r w:rsidRPr="009E707A">
        <w:rPr>
          <w:rFonts w:eastAsia="Songti TC"/>
          <w:sz w:val="24"/>
          <w:szCs w:val="24"/>
        </w:rPr>
        <w:t>动词专门指的就是神谕知识</w:t>
      </w:r>
      <w:r w:rsidR="009E707A">
        <w:rPr>
          <w:rStyle w:val="Funotenzeichen"/>
          <w:rFonts w:eastAsia="Songti TC"/>
          <w:sz w:val="24"/>
          <w:szCs w:val="24"/>
        </w:rPr>
        <w:footnoteReference w:id="18"/>
      </w:r>
      <w:r w:rsidRPr="009E707A">
        <w:rPr>
          <w:rFonts w:eastAsia="Songti TC"/>
          <w:sz w:val="24"/>
          <w:szCs w:val="24"/>
        </w:rPr>
        <w:t>。</w:t>
      </w:r>
      <w:r w:rsidR="00347ADD" w:rsidRPr="009E707A">
        <w:rPr>
          <w:rFonts w:eastAsia="Songti TC"/>
          <w:sz w:val="24"/>
          <w:szCs w:val="24"/>
        </w:rPr>
        <w:t>自史诗以来，知悉当下、未来和过去的预言家被描绘成一个有知识的人。克里特岛的埃皮门尼德（</w:t>
      </w:r>
      <w:r w:rsidR="00347ADD" w:rsidRPr="009E707A">
        <w:rPr>
          <w:rFonts w:eastAsia="Songti TC"/>
          <w:sz w:val="24"/>
          <w:szCs w:val="24"/>
        </w:rPr>
        <w:t>Epimenides</w:t>
      </w:r>
      <w:r w:rsidR="00347ADD" w:rsidRPr="009E707A">
        <w:rPr>
          <w:rFonts w:eastAsia="Songti TC"/>
          <w:sz w:val="24"/>
          <w:szCs w:val="24"/>
        </w:rPr>
        <w:t>）是一位著名的占卜师，据说他的占卜技巧不是应用在应该发生的事情上，而是应用在已然发生但依旧模糊不清的事情上。占卜，在这里也是一门关乎过去的科学。这让我们还想起了赫拉克利</w:t>
      </w:r>
      <w:r w:rsidR="00C7020E" w:rsidRPr="009E707A">
        <w:rPr>
          <w:rFonts w:eastAsia="Songti TC"/>
          <w:sz w:val="24"/>
          <w:szCs w:val="24"/>
        </w:rPr>
        <w:t>所言</w:t>
      </w:r>
      <w:r w:rsidR="00347ADD" w:rsidRPr="009E707A">
        <w:rPr>
          <w:rFonts w:eastAsia="Songti TC"/>
          <w:sz w:val="24"/>
          <w:szCs w:val="24"/>
        </w:rPr>
        <w:t>的</w:t>
      </w:r>
      <w:r w:rsidR="00C7020E" w:rsidRPr="009E707A">
        <w:rPr>
          <w:rFonts w:eastAsia="Songti TC"/>
          <w:sz w:val="24"/>
          <w:szCs w:val="24"/>
        </w:rPr>
        <w:t>惯例</w:t>
      </w:r>
      <w:r w:rsidR="00221EAD" w:rsidRPr="009E707A">
        <w:rPr>
          <w:rFonts w:eastAsia="Songti TC"/>
          <w:sz w:val="24"/>
          <w:szCs w:val="24"/>
        </w:rPr>
        <w:t>（</w:t>
      </w:r>
      <w:r w:rsidR="00221EAD" w:rsidRPr="009E707A">
        <w:rPr>
          <w:rFonts w:eastAsia="Songti TC"/>
          <w:sz w:val="24"/>
          <w:szCs w:val="24"/>
        </w:rPr>
        <w:t>formula</w:t>
      </w:r>
      <w:r w:rsidR="00221EAD" w:rsidRPr="009E707A">
        <w:rPr>
          <w:rFonts w:eastAsia="Songti TC"/>
          <w:sz w:val="24"/>
          <w:szCs w:val="24"/>
        </w:rPr>
        <w:t>）</w:t>
      </w:r>
      <w:r w:rsidR="00347ADD" w:rsidRPr="009E707A">
        <w:rPr>
          <w:rFonts w:eastAsia="Songti TC"/>
          <w:sz w:val="24"/>
          <w:szCs w:val="24"/>
        </w:rPr>
        <w:t>，根据他的</w:t>
      </w:r>
      <w:r w:rsidR="00C7020E" w:rsidRPr="009E707A">
        <w:rPr>
          <w:rFonts w:eastAsia="Songti TC"/>
          <w:sz w:val="24"/>
          <w:szCs w:val="24"/>
        </w:rPr>
        <w:t>惯例</w:t>
      </w:r>
      <w:r w:rsidR="00347ADD" w:rsidRPr="009E707A">
        <w:rPr>
          <w:rFonts w:eastAsia="Songti TC"/>
          <w:sz w:val="24"/>
          <w:szCs w:val="24"/>
        </w:rPr>
        <w:t>，神谕既不说话也不隐藏，而是</w:t>
      </w:r>
      <w:r w:rsidR="00347ADD" w:rsidRPr="009E707A">
        <w:rPr>
          <w:rFonts w:eastAsia="Songti TC"/>
          <w:sz w:val="24"/>
          <w:szCs w:val="24"/>
        </w:rPr>
        <w:t>"</w:t>
      </w:r>
      <w:r w:rsidR="00096DC9" w:rsidRPr="009E707A">
        <w:rPr>
          <w:rFonts w:eastAsia="Songti TC"/>
          <w:sz w:val="24"/>
          <w:szCs w:val="24"/>
        </w:rPr>
        <w:t>意显</w:t>
      </w:r>
      <w:r w:rsidR="004B01A0" w:rsidRPr="009E707A">
        <w:rPr>
          <w:rFonts w:eastAsia="Songti TC"/>
          <w:sz w:val="24"/>
          <w:szCs w:val="24"/>
        </w:rPr>
        <w:t>（</w:t>
      </w:r>
      <w:r w:rsidR="007F7F63" w:rsidRPr="009E707A">
        <w:rPr>
          <w:rFonts w:eastAsia="Songti TC"/>
          <w:sz w:val="24"/>
          <w:szCs w:val="24"/>
          <w:lang w:val="en-US"/>
        </w:rPr>
        <w:t>意味（</w:t>
      </w:r>
      <w:r w:rsidR="007F7F63" w:rsidRPr="009E707A">
        <w:rPr>
          <w:rFonts w:eastAsia="Songti TC"/>
          <w:sz w:val="24"/>
          <w:szCs w:val="24"/>
          <w:lang w:val="en-US"/>
        </w:rPr>
        <w:t>means</w:t>
      </w:r>
      <w:r w:rsidR="007F7F63" w:rsidRPr="009E707A">
        <w:rPr>
          <w:rFonts w:eastAsia="Songti TC"/>
          <w:sz w:val="24"/>
          <w:szCs w:val="24"/>
          <w:lang w:val="en-US"/>
        </w:rPr>
        <w:t>））</w:t>
      </w:r>
      <w:r w:rsidR="00347ADD" w:rsidRPr="009E707A">
        <w:rPr>
          <w:rFonts w:eastAsia="Songti TC"/>
          <w:sz w:val="24"/>
          <w:szCs w:val="24"/>
        </w:rPr>
        <w:t>"</w:t>
      </w:r>
      <w:r w:rsidR="00347ADD" w:rsidRPr="009E707A">
        <w:rPr>
          <w:rFonts w:eastAsia="Songti TC"/>
          <w:sz w:val="24"/>
          <w:szCs w:val="24"/>
        </w:rPr>
        <w:t>（</w:t>
      </w:r>
      <w:r w:rsidR="00347ADD" w:rsidRPr="009E707A">
        <w:rPr>
          <w:rFonts w:eastAsia="Songti TC"/>
          <w:sz w:val="24"/>
          <w:szCs w:val="24"/>
        </w:rPr>
        <w:t>sêmainei</w:t>
      </w:r>
      <w:r w:rsidR="00347ADD" w:rsidRPr="009E707A">
        <w:rPr>
          <w:rFonts w:eastAsia="Songti TC"/>
          <w:sz w:val="24"/>
          <w:szCs w:val="24"/>
        </w:rPr>
        <w:t>）</w:t>
      </w:r>
      <w:r w:rsidR="009E707A">
        <w:rPr>
          <w:rStyle w:val="Funotenzeichen"/>
          <w:rFonts w:eastAsia="Songti TC"/>
          <w:sz w:val="24"/>
          <w:szCs w:val="24"/>
        </w:rPr>
        <w:footnoteReference w:id="19"/>
      </w:r>
      <w:r w:rsidR="00347ADD" w:rsidRPr="009E707A">
        <w:rPr>
          <w:rFonts w:eastAsia="Songti TC"/>
          <w:sz w:val="24"/>
          <w:szCs w:val="24"/>
        </w:rPr>
        <w:t>。</w:t>
      </w:r>
    </w:p>
    <w:p w14:paraId="02FD49F9" w14:textId="4935179C" w:rsidR="00E43F19" w:rsidRPr="009E707A" w:rsidRDefault="00E43F19" w:rsidP="00E43F19">
      <w:pPr>
        <w:rPr>
          <w:rFonts w:eastAsia="Songti TC"/>
          <w:sz w:val="24"/>
          <w:szCs w:val="24"/>
        </w:rPr>
      </w:pPr>
      <w:r w:rsidRPr="009E707A">
        <w:rPr>
          <w:rFonts w:eastAsia="Songti TC"/>
          <w:sz w:val="24"/>
          <w:szCs w:val="24"/>
        </w:rPr>
        <w:t>在序言中，正是在希罗多德第一次说到</w:t>
      </w:r>
      <w:r w:rsidRPr="009E707A">
        <w:rPr>
          <w:rFonts w:eastAsia="Songti TC"/>
          <w:sz w:val="24"/>
          <w:szCs w:val="24"/>
        </w:rPr>
        <w:t>"</w:t>
      </w:r>
      <w:r w:rsidRPr="009E707A">
        <w:rPr>
          <w:rFonts w:eastAsia="Songti TC"/>
          <w:sz w:val="24"/>
          <w:szCs w:val="24"/>
        </w:rPr>
        <w:t>我</w:t>
      </w:r>
      <w:r w:rsidRPr="009E707A">
        <w:rPr>
          <w:rFonts w:eastAsia="Songti TC"/>
          <w:sz w:val="24"/>
          <w:szCs w:val="24"/>
        </w:rPr>
        <w:t>"</w:t>
      </w:r>
      <w:r w:rsidRPr="009E707A">
        <w:rPr>
          <w:rFonts w:eastAsia="Songti TC"/>
          <w:sz w:val="24"/>
          <w:szCs w:val="24"/>
        </w:rPr>
        <w:t>的时候，他</w:t>
      </w:r>
      <w:r w:rsidRPr="009E707A">
        <w:rPr>
          <w:rFonts w:eastAsia="Songti TC"/>
          <w:sz w:val="24"/>
          <w:szCs w:val="24"/>
        </w:rPr>
        <w:t xml:space="preserve"> "</w:t>
      </w:r>
      <w:r w:rsidRPr="009E707A">
        <w:rPr>
          <w:rFonts w:eastAsia="Songti TC"/>
          <w:sz w:val="24"/>
          <w:szCs w:val="24"/>
        </w:rPr>
        <w:t>意显</w:t>
      </w:r>
      <w:r w:rsidR="000A65AE" w:rsidRPr="009E707A">
        <w:rPr>
          <w:rFonts w:eastAsia="Songti TC"/>
          <w:sz w:val="24"/>
          <w:szCs w:val="24"/>
        </w:rPr>
        <w:t>（</w:t>
      </w:r>
      <w:r w:rsidR="00BD7307" w:rsidRPr="009E707A">
        <w:rPr>
          <w:rFonts w:eastAsia="Songti TC"/>
          <w:sz w:val="24"/>
          <w:szCs w:val="24"/>
        </w:rPr>
        <w:t>预示</w:t>
      </w:r>
      <w:r w:rsidR="004B01A0" w:rsidRPr="009E707A">
        <w:rPr>
          <w:rFonts w:eastAsia="Songti TC"/>
          <w:sz w:val="24"/>
          <w:szCs w:val="24"/>
        </w:rPr>
        <w:t>（</w:t>
      </w:r>
      <w:r w:rsidR="004B01A0" w:rsidRPr="009E707A">
        <w:rPr>
          <w:rFonts w:eastAsia="Songti TC"/>
          <w:sz w:val="24"/>
          <w:szCs w:val="24"/>
        </w:rPr>
        <w:t>signifies</w:t>
      </w:r>
      <w:r w:rsidR="004B01A0" w:rsidRPr="009E707A">
        <w:rPr>
          <w:rFonts w:eastAsia="Songti TC"/>
          <w:sz w:val="24"/>
          <w:szCs w:val="24"/>
        </w:rPr>
        <w:t>）</w:t>
      </w:r>
      <w:r w:rsidR="00BD7307" w:rsidRPr="009E707A">
        <w:rPr>
          <w:rFonts w:eastAsia="Songti TC"/>
          <w:sz w:val="24"/>
          <w:szCs w:val="24"/>
        </w:rPr>
        <w:t>）</w:t>
      </w:r>
      <w:r w:rsidRPr="009E707A">
        <w:rPr>
          <w:rFonts w:eastAsia="Songti TC"/>
          <w:sz w:val="24"/>
          <w:szCs w:val="24"/>
        </w:rPr>
        <w:t>"</w:t>
      </w:r>
      <w:r w:rsidRPr="009E707A">
        <w:rPr>
          <w:rFonts w:eastAsia="Songti TC"/>
          <w:sz w:val="24"/>
          <w:szCs w:val="24"/>
        </w:rPr>
        <w:t>（</w:t>
      </w:r>
      <w:r w:rsidRPr="009E707A">
        <w:rPr>
          <w:rFonts w:eastAsia="Songti TC"/>
          <w:sz w:val="24"/>
          <w:szCs w:val="24"/>
        </w:rPr>
        <w:t>sêmainei</w:t>
      </w:r>
      <w:r w:rsidRPr="009E707A">
        <w:rPr>
          <w:rFonts w:eastAsia="Songti TC"/>
          <w:sz w:val="24"/>
          <w:szCs w:val="24"/>
        </w:rPr>
        <w:t>）了。他根据自己的个人知识，揭示并指定了谁是第一个对希腊人采取进攻行动的人，即吕底亚（</w:t>
      </w:r>
      <w:r w:rsidRPr="009E707A">
        <w:rPr>
          <w:rFonts w:eastAsia="Songti TC"/>
          <w:sz w:val="24"/>
          <w:szCs w:val="24"/>
        </w:rPr>
        <w:t>Lydia</w:t>
      </w:r>
      <w:r w:rsidRPr="009E707A">
        <w:rPr>
          <w:rFonts w:eastAsia="Songti TC"/>
          <w:sz w:val="24"/>
          <w:szCs w:val="24"/>
        </w:rPr>
        <w:t>）的国王克罗伊索斯（</w:t>
      </w:r>
      <w:r w:rsidRPr="009E707A">
        <w:rPr>
          <w:rFonts w:eastAsia="Songti TC"/>
          <w:sz w:val="24"/>
          <w:szCs w:val="24"/>
        </w:rPr>
        <w:t>Croesus</w:t>
      </w:r>
      <w:r w:rsidRPr="009E707A">
        <w:rPr>
          <w:rFonts w:eastAsia="Songti TC"/>
          <w:sz w:val="24"/>
          <w:szCs w:val="24"/>
        </w:rPr>
        <w:t>）。作为第一个征服希腊人的人，克罗伊索斯被指定为</w:t>
      </w:r>
      <w:r w:rsidRPr="009E707A">
        <w:rPr>
          <w:rFonts w:eastAsia="Songti TC"/>
          <w:sz w:val="24"/>
          <w:szCs w:val="24"/>
        </w:rPr>
        <w:t xml:space="preserve"> "</w:t>
      </w:r>
      <w:r w:rsidRPr="009E707A">
        <w:rPr>
          <w:rFonts w:eastAsia="Songti TC"/>
          <w:sz w:val="24"/>
          <w:szCs w:val="24"/>
        </w:rPr>
        <w:t>对此负责</w:t>
      </w:r>
      <w:r w:rsidRPr="009E707A">
        <w:rPr>
          <w:rFonts w:eastAsia="Songti TC"/>
          <w:sz w:val="24"/>
          <w:szCs w:val="24"/>
        </w:rPr>
        <w:t>"</w:t>
      </w:r>
      <w:r w:rsidRPr="009E707A">
        <w:rPr>
          <w:rFonts w:eastAsia="Songti TC"/>
          <w:sz w:val="24"/>
          <w:szCs w:val="24"/>
        </w:rPr>
        <w:t>，或</w:t>
      </w:r>
      <w:r w:rsidRPr="009E707A">
        <w:rPr>
          <w:rFonts w:eastAsia="Songti TC"/>
          <w:sz w:val="24"/>
          <w:szCs w:val="24"/>
        </w:rPr>
        <w:t xml:space="preserve"> "</w:t>
      </w:r>
      <w:r w:rsidRPr="009E707A">
        <w:rPr>
          <w:rFonts w:eastAsia="Songti TC"/>
          <w:sz w:val="24"/>
          <w:szCs w:val="24"/>
        </w:rPr>
        <w:t>有罪</w:t>
      </w:r>
      <w:r w:rsidRPr="009E707A">
        <w:rPr>
          <w:rFonts w:eastAsia="Songti TC"/>
          <w:sz w:val="24"/>
          <w:szCs w:val="24"/>
        </w:rPr>
        <w:t>"</w:t>
      </w:r>
      <w:r w:rsidRPr="009E707A">
        <w:rPr>
          <w:rFonts w:eastAsia="Songti TC"/>
          <w:sz w:val="24"/>
          <w:szCs w:val="24"/>
        </w:rPr>
        <w:t>（</w:t>
      </w:r>
      <w:r w:rsidRPr="009E707A">
        <w:rPr>
          <w:rFonts w:eastAsia="Songti TC"/>
          <w:sz w:val="24"/>
          <w:szCs w:val="24"/>
        </w:rPr>
        <w:t>aitios</w:t>
      </w:r>
      <w:r w:rsidRPr="009E707A">
        <w:rPr>
          <w:rFonts w:eastAsia="Songti TC"/>
          <w:sz w:val="24"/>
          <w:szCs w:val="24"/>
        </w:rPr>
        <w:t>）。</w:t>
      </w:r>
      <w:r w:rsidRPr="009E707A">
        <w:rPr>
          <w:rFonts w:eastAsia="Songti TC"/>
          <w:sz w:val="24"/>
          <w:szCs w:val="24"/>
        </w:rPr>
        <w:t xml:space="preserve"> </w:t>
      </w:r>
      <w:r w:rsidRPr="009E707A">
        <w:rPr>
          <w:rFonts w:eastAsia="Songti TC"/>
          <w:sz w:val="24"/>
          <w:szCs w:val="24"/>
        </w:rPr>
        <w:t>借助这种调查和指定，希罗多德本人当然不是一名预言家，但他为自己攫取了这类神谕的权威。因此，尽管与我们之前在美索不达米亚所见的方式有很大不同，占卜和历史，与希罗多德依旧是有共同之处的。</w:t>
      </w:r>
    </w:p>
    <w:p w14:paraId="27849F08" w14:textId="7A9F2DCF" w:rsidR="00E43F19" w:rsidRPr="009E707A" w:rsidRDefault="00E43F19" w:rsidP="00E43F19">
      <w:pPr>
        <w:rPr>
          <w:rFonts w:eastAsia="Songti TC"/>
          <w:sz w:val="24"/>
          <w:szCs w:val="24"/>
        </w:rPr>
      </w:pPr>
      <w:r w:rsidRPr="009E707A">
        <w:rPr>
          <w:rFonts w:eastAsia="Songti TC"/>
          <w:sz w:val="24"/>
          <w:szCs w:val="24"/>
        </w:rPr>
        <w:t>询问（</w:t>
      </w:r>
      <w:r w:rsidRPr="009E707A">
        <w:rPr>
          <w:rFonts w:eastAsia="Songti TC"/>
          <w:sz w:val="24"/>
          <w:szCs w:val="24"/>
        </w:rPr>
        <w:t>historein</w:t>
      </w:r>
      <w:r w:rsidRPr="009E707A">
        <w:rPr>
          <w:rFonts w:eastAsia="Songti TC"/>
          <w:sz w:val="24"/>
          <w:szCs w:val="24"/>
        </w:rPr>
        <w:t>）和意显（</w:t>
      </w:r>
      <w:r w:rsidRPr="009E707A">
        <w:rPr>
          <w:rFonts w:eastAsia="Songti TC"/>
          <w:sz w:val="24"/>
          <w:szCs w:val="24"/>
        </w:rPr>
        <w:t>sêmainein</w:t>
      </w:r>
      <w:r w:rsidRPr="009E707A">
        <w:rPr>
          <w:rFonts w:eastAsia="Songti TC"/>
          <w:sz w:val="24"/>
          <w:szCs w:val="24"/>
        </w:rPr>
        <w:t>）这两个动词，是相互交叉的，古代和当代的知识，在这里汇合并缠绕在一起，希罗多德本人的作品以一种独特的方式证明了这一点。它们是两种智识工具，通过它们可以</w:t>
      </w:r>
      <w:r w:rsidRPr="009E707A">
        <w:rPr>
          <w:rFonts w:eastAsia="Songti TC"/>
          <w:sz w:val="24"/>
          <w:szCs w:val="24"/>
        </w:rPr>
        <w:t>"</w:t>
      </w:r>
      <w:r w:rsidRPr="009E707A">
        <w:rPr>
          <w:rFonts w:eastAsia="Songti TC"/>
          <w:sz w:val="24"/>
          <w:szCs w:val="24"/>
        </w:rPr>
        <w:t>看得清晰</w:t>
      </w:r>
      <w:r w:rsidRPr="009E707A">
        <w:rPr>
          <w:rFonts w:eastAsia="Songti TC"/>
          <w:sz w:val="24"/>
          <w:szCs w:val="24"/>
        </w:rPr>
        <w:t>"</w:t>
      </w:r>
      <w:r w:rsidRPr="009E707A">
        <w:rPr>
          <w:rFonts w:eastAsia="Songti TC"/>
          <w:sz w:val="24"/>
          <w:szCs w:val="24"/>
        </w:rPr>
        <w:t>，并能更进一步，超越可见的空间或时间；它们描绘并塑造了第一位历史学家的智力风格。他既不是吟游诗人也不是占卜师，而是介于两者之间，希罗多德最终成为了希罗多德：历史之父。在他之后，一系列的选择被做出，并最终导致了一个新时代的形成，即现代，以及一个新的历史概念：历史（</w:t>
      </w:r>
      <w:r w:rsidRPr="009E707A">
        <w:rPr>
          <w:rFonts w:eastAsia="Songti TC"/>
          <w:sz w:val="24"/>
          <w:szCs w:val="24"/>
        </w:rPr>
        <w:t>History</w:t>
      </w:r>
      <w:r w:rsidRPr="009E707A">
        <w:rPr>
          <w:rFonts w:eastAsia="Songti TC"/>
          <w:sz w:val="24"/>
          <w:szCs w:val="24"/>
        </w:rPr>
        <w:t>），大写的</w:t>
      </w:r>
      <w:r w:rsidRPr="009E707A">
        <w:rPr>
          <w:rFonts w:eastAsia="Songti TC"/>
          <w:sz w:val="24"/>
          <w:szCs w:val="24"/>
        </w:rPr>
        <w:t>H</w:t>
      </w:r>
      <w:r w:rsidRPr="009E707A">
        <w:rPr>
          <w:rFonts w:eastAsia="Songti TC"/>
          <w:sz w:val="24"/>
          <w:szCs w:val="24"/>
        </w:rPr>
        <w:t>，历史是一个无所不包的过程，而直到最近，这仍一直是西方世界的主要信仰。</w:t>
      </w:r>
    </w:p>
    <w:p w14:paraId="56129315" w14:textId="77777777" w:rsidR="005A4A42" w:rsidRPr="009E707A" w:rsidRDefault="005A4A42" w:rsidP="00BA502A">
      <w:pPr>
        <w:rPr>
          <w:rFonts w:eastAsia="Songti TC"/>
          <w:sz w:val="24"/>
          <w:szCs w:val="24"/>
        </w:rPr>
      </w:pPr>
    </w:p>
    <w:sectPr w:rsidR="005A4A42" w:rsidRPr="009E707A" w:rsidSect="006E0C2C">
      <w:endnotePr>
        <w:numFmt w:val="decimal"/>
      </w:endnotePr>
      <w:type w:val="continuous"/>
      <w:pgSz w:w="11906" w:h="16838"/>
      <w:pgMar w:top="1440" w:right="1440" w:bottom="1440" w:left="144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2A55D" w14:textId="77777777" w:rsidR="00481A45" w:rsidRDefault="00481A45" w:rsidP="00BA502A">
      <w:r>
        <w:separator/>
      </w:r>
    </w:p>
  </w:endnote>
  <w:endnote w:type="continuationSeparator" w:id="0">
    <w:p w14:paraId="3C1AFF89" w14:textId="77777777" w:rsidR="00481A45" w:rsidRDefault="00481A45" w:rsidP="00BA5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ongti TC">
    <w:panose1 w:val="02010600040101010101"/>
    <w:charset w:val="88"/>
    <w:family w:val="auto"/>
    <w:pitch w:val="variable"/>
    <w:sig w:usb0="00000287" w:usb1="080F0000" w:usb2="00000010" w:usb3="00000000" w:csb0="0014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F1916" w14:textId="77777777" w:rsidR="00481A45" w:rsidRDefault="00481A45" w:rsidP="00BA502A">
      <w:r>
        <w:separator/>
      </w:r>
    </w:p>
  </w:footnote>
  <w:footnote w:type="continuationSeparator" w:id="0">
    <w:p w14:paraId="4A34C3BF" w14:textId="77777777" w:rsidR="00481A45" w:rsidRDefault="00481A45" w:rsidP="00BA502A">
      <w:r>
        <w:continuationSeparator/>
      </w:r>
    </w:p>
  </w:footnote>
  <w:footnote w:id="1">
    <w:p w14:paraId="3F48E1BD" w14:textId="3A5DF5D8" w:rsidR="00C26D4D" w:rsidRPr="00C26D4D" w:rsidRDefault="00C26D4D" w:rsidP="00C26D4D">
      <w:pPr>
        <w:pStyle w:val="Funotentext"/>
        <w:jc w:val="both"/>
        <w:rPr>
          <w:rFonts w:eastAsia="Songti TC"/>
          <w:lang w:val="fr-FR"/>
        </w:rPr>
      </w:pPr>
      <w:r w:rsidRPr="00C26D4D">
        <w:rPr>
          <w:rStyle w:val="Funotenzeichen"/>
          <w:rFonts w:eastAsia="Songti TC"/>
        </w:rPr>
        <w:footnoteRef/>
      </w:r>
      <w:r w:rsidRPr="00C26D4D">
        <w:rPr>
          <w:rFonts w:eastAsia="Songti TC"/>
        </w:rPr>
        <w:t xml:space="preserve"> </w:t>
      </w:r>
      <w:r w:rsidRPr="00C26D4D">
        <w:rPr>
          <w:rFonts w:eastAsia="Songti TC"/>
          <w:szCs w:val="18"/>
        </w:rPr>
        <w:t xml:space="preserve">François Hartog, The Mirror of Herodotus, </w:t>
      </w:r>
      <w:r w:rsidRPr="00C26D4D">
        <w:rPr>
          <w:rFonts w:eastAsia="Songti TC"/>
          <w:i/>
          <w:iCs/>
          <w:szCs w:val="18"/>
        </w:rPr>
        <w:t>The Representation of the Other in the Writing of History,</w:t>
      </w:r>
      <w:r w:rsidRPr="00C26D4D">
        <w:rPr>
          <w:rFonts w:eastAsia="Songti TC"/>
          <w:szCs w:val="18"/>
        </w:rPr>
        <w:t>（希罗多德的镜子，历史书写中的他人表现）</w:t>
      </w:r>
      <w:r w:rsidRPr="00C26D4D">
        <w:rPr>
          <w:rFonts w:eastAsia="Songti TC"/>
          <w:i/>
          <w:iCs/>
          <w:szCs w:val="18"/>
        </w:rPr>
        <w:t>t</w:t>
      </w:r>
      <w:r w:rsidRPr="00C26D4D">
        <w:rPr>
          <w:rFonts w:eastAsia="Songti TC"/>
          <w:szCs w:val="18"/>
        </w:rPr>
        <w:t xml:space="preserve">ranslated by J. Lloyd, Berkeley, University of California Press, 1988. </w:t>
      </w:r>
      <w:r w:rsidRPr="00C26D4D">
        <w:rPr>
          <w:rFonts w:eastAsia="Songti TC"/>
          <w:szCs w:val="18"/>
          <w:lang w:val="fr-FR"/>
        </w:rPr>
        <w:t>Evidence de l’histoire, Ce que voient les historiens, Paris, 2005, p. 21-42.</w:t>
      </w:r>
    </w:p>
  </w:footnote>
  <w:footnote w:id="2">
    <w:p w14:paraId="356CC165" w14:textId="5D0387A7" w:rsidR="00C26D4D" w:rsidRPr="00C26D4D" w:rsidRDefault="00C26D4D" w:rsidP="00C26D4D">
      <w:pPr>
        <w:pStyle w:val="Funotentext"/>
        <w:jc w:val="both"/>
        <w:rPr>
          <w:rFonts w:eastAsia="Songti TC"/>
          <w:lang w:val="fr-FR"/>
        </w:rPr>
      </w:pPr>
      <w:r w:rsidRPr="00C26D4D">
        <w:rPr>
          <w:rStyle w:val="Funotenzeichen"/>
          <w:rFonts w:eastAsia="Songti TC"/>
        </w:rPr>
        <w:footnoteRef/>
      </w:r>
      <w:r w:rsidRPr="00C26D4D">
        <w:rPr>
          <w:rFonts w:eastAsia="Songti TC"/>
          <w:lang w:val="fr-FR"/>
        </w:rPr>
        <w:t xml:space="preserve"> </w:t>
      </w:r>
      <w:r w:rsidRPr="00C26D4D">
        <w:rPr>
          <w:rFonts w:eastAsia="Songti TC"/>
          <w:szCs w:val="18"/>
          <w:lang w:val="fr-FR"/>
        </w:rPr>
        <w:t>Jan Assmann, </w:t>
      </w:r>
      <w:r w:rsidRPr="00C26D4D">
        <w:rPr>
          <w:rFonts w:eastAsia="Songti TC"/>
          <w:i/>
          <w:iCs/>
          <w:szCs w:val="18"/>
          <w:lang w:val="fr-FR"/>
        </w:rPr>
        <w:t>Das Kulturelle Gedächtnis</w:t>
      </w:r>
      <w:r w:rsidRPr="00C26D4D">
        <w:rPr>
          <w:rFonts w:eastAsia="Songti TC"/>
          <w:szCs w:val="18"/>
          <w:lang w:val="fr-FR"/>
        </w:rPr>
        <w:t>, </w:t>
      </w:r>
      <w:r w:rsidRPr="00C26D4D">
        <w:rPr>
          <w:rFonts w:eastAsia="Songti TC"/>
          <w:i/>
          <w:iCs/>
          <w:szCs w:val="18"/>
          <w:lang w:val="fr-FR"/>
        </w:rPr>
        <w:t>Schrift, Erinnerung und politische Identität in frühen Hochkulturen</w:t>
      </w:r>
      <w:r w:rsidRPr="00C26D4D">
        <w:rPr>
          <w:rFonts w:eastAsia="Songti TC"/>
          <w:szCs w:val="18"/>
          <w:lang w:val="fr-FR"/>
        </w:rPr>
        <w:t>（</w:t>
      </w:r>
      <w:r w:rsidRPr="00C26D4D">
        <w:rPr>
          <w:rFonts w:eastAsia="Songti TC"/>
          <w:szCs w:val="18"/>
        </w:rPr>
        <w:t>早期先进文明中的文化记忆、书写、记忆和政治认同</w:t>
      </w:r>
      <w:r w:rsidRPr="00C26D4D">
        <w:rPr>
          <w:rFonts w:eastAsia="Songti TC"/>
          <w:szCs w:val="18"/>
          <w:lang w:val="fr-FR"/>
        </w:rPr>
        <w:t>）</w:t>
      </w:r>
      <w:r w:rsidRPr="00C26D4D">
        <w:rPr>
          <w:rFonts w:eastAsia="Songti TC"/>
          <w:szCs w:val="18"/>
          <w:lang w:val="fr-FR"/>
        </w:rPr>
        <w:t>, Munich, 1997, p. 169-174.</w:t>
      </w:r>
    </w:p>
  </w:footnote>
  <w:footnote w:id="3">
    <w:p w14:paraId="7B2F5A89" w14:textId="622246F4" w:rsidR="00DE1895" w:rsidRPr="00C26D4D" w:rsidRDefault="00DE1895" w:rsidP="00C26D4D">
      <w:pPr>
        <w:pStyle w:val="Funotentext"/>
        <w:jc w:val="both"/>
        <w:rPr>
          <w:rFonts w:eastAsia="Songti TC"/>
        </w:rPr>
      </w:pPr>
      <w:r w:rsidRPr="00C26D4D">
        <w:rPr>
          <w:rStyle w:val="Funotenzeichen"/>
          <w:rFonts w:eastAsia="Songti TC"/>
        </w:rPr>
        <w:footnoteRef/>
      </w:r>
      <w:r w:rsidRPr="00C26D4D">
        <w:rPr>
          <w:rFonts w:eastAsia="Songti TC"/>
        </w:rPr>
        <w:t xml:space="preserve"> </w:t>
      </w:r>
      <w:r w:rsidRPr="00C26D4D">
        <w:rPr>
          <w:rFonts w:eastAsia="Songti TC"/>
          <w:szCs w:val="18"/>
          <w:lang w:val="fr-FR"/>
        </w:rPr>
        <w:t xml:space="preserve">Jean-Jacques Glassner, </w:t>
      </w:r>
      <w:r w:rsidRPr="00C26D4D">
        <w:rPr>
          <w:rFonts w:eastAsia="Songti TC"/>
          <w:i/>
          <w:iCs/>
          <w:szCs w:val="18"/>
          <w:lang w:val="fr-FR"/>
        </w:rPr>
        <w:t>Chroniques mésopotamiennes</w:t>
      </w:r>
      <w:r w:rsidRPr="00C26D4D">
        <w:rPr>
          <w:rFonts w:eastAsia="Songti TC"/>
          <w:szCs w:val="18"/>
          <w:lang w:val="fr-FR"/>
        </w:rPr>
        <w:t>（</w:t>
      </w:r>
      <w:r w:rsidRPr="00C26D4D">
        <w:rPr>
          <w:rFonts w:eastAsia="Songti TC"/>
          <w:szCs w:val="18"/>
        </w:rPr>
        <w:t>美索不达米亚编年史</w:t>
      </w:r>
      <w:r w:rsidRPr="00C26D4D">
        <w:rPr>
          <w:rFonts w:eastAsia="Songti TC"/>
          <w:szCs w:val="18"/>
          <w:lang w:val="fr-FR"/>
        </w:rPr>
        <w:t>）</w:t>
      </w:r>
      <w:r w:rsidRPr="00C26D4D">
        <w:rPr>
          <w:rFonts w:eastAsia="Songti TC"/>
          <w:szCs w:val="18"/>
          <w:lang w:val="fr-FR"/>
        </w:rPr>
        <w:t>, Paris, 1993.</w:t>
      </w:r>
    </w:p>
  </w:footnote>
  <w:footnote w:id="4">
    <w:p w14:paraId="0A20701F" w14:textId="26C49C1F" w:rsidR="00D80359" w:rsidRPr="00C26D4D" w:rsidRDefault="00D80359" w:rsidP="00C26D4D">
      <w:pPr>
        <w:pStyle w:val="Funotentext"/>
        <w:jc w:val="both"/>
        <w:rPr>
          <w:rFonts w:eastAsia="Songti TC"/>
        </w:rPr>
      </w:pPr>
      <w:r w:rsidRPr="00C26D4D">
        <w:rPr>
          <w:rStyle w:val="Funotenzeichen"/>
          <w:rFonts w:eastAsia="Songti TC"/>
        </w:rPr>
        <w:footnoteRef/>
      </w:r>
      <w:r w:rsidRPr="00C26D4D">
        <w:rPr>
          <w:rFonts w:eastAsia="Songti TC"/>
        </w:rPr>
        <w:t xml:space="preserve"> </w:t>
      </w:r>
      <w:r w:rsidRPr="00C26D4D">
        <w:rPr>
          <w:rFonts w:eastAsia="Songti TC"/>
          <w:szCs w:val="18"/>
          <w:lang w:val="fr-FR"/>
        </w:rPr>
        <w:t>Yosef H. Yerushalmi, Zakhor, </w:t>
      </w:r>
      <w:r w:rsidRPr="00C26D4D">
        <w:rPr>
          <w:rFonts w:eastAsia="Songti TC"/>
          <w:i/>
          <w:iCs/>
          <w:szCs w:val="18"/>
          <w:lang w:val="fr-FR"/>
        </w:rPr>
        <w:t>Jewish History and Jewish Memory</w:t>
      </w:r>
      <w:r w:rsidRPr="00C26D4D">
        <w:rPr>
          <w:rFonts w:eastAsia="Songti TC"/>
          <w:szCs w:val="18"/>
          <w:lang w:val="fr-FR"/>
        </w:rPr>
        <w:t>（</w:t>
      </w:r>
      <w:r w:rsidRPr="00C26D4D">
        <w:rPr>
          <w:rFonts w:eastAsia="Songti TC"/>
          <w:szCs w:val="18"/>
        </w:rPr>
        <w:t>犹太历史与犹太记忆</w:t>
      </w:r>
      <w:r w:rsidRPr="00C26D4D">
        <w:rPr>
          <w:rFonts w:eastAsia="Songti TC"/>
          <w:szCs w:val="18"/>
          <w:lang w:val="fr-FR"/>
        </w:rPr>
        <w:t>）</w:t>
      </w:r>
      <w:r w:rsidRPr="00C26D4D">
        <w:rPr>
          <w:rFonts w:eastAsia="Songti TC"/>
          <w:szCs w:val="18"/>
          <w:lang w:val="fr-FR"/>
        </w:rPr>
        <w:t>, University of Washington Press, 1982.</w:t>
      </w:r>
    </w:p>
  </w:footnote>
  <w:footnote w:id="5">
    <w:p w14:paraId="0F0CE6A1" w14:textId="5CB7DE68" w:rsidR="00D80359" w:rsidRPr="00C26D4D" w:rsidRDefault="00D80359" w:rsidP="00C26D4D">
      <w:pPr>
        <w:pStyle w:val="Funotentext"/>
        <w:jc w:val="both"/>
        <w:rPr>
          <w:rFonts w:eastAsia="Songti TC"/>
        </w:rPr>
      </w:pPr>
      <w:r w:rsidRPr="00C26D4D">
        <w:rPr>
          <w:rStyle w:val="Funotenzeichen"/>
          <w:rFonts w:eastAsia="Songti TC"/>
        </w:rPr>
        <w:footnoteRef/>
      </w:r>
      <w:r w:rsidRPr="00C26D4D">
        <w:rPr>
          <w:rFonts w:eastAsia="Songti TC"/>
        </w:rPr>
        <w:t xml:space="preserve"> </w:t>
      </w:r>
      <w:r w:rsidRPr="00B5696A">
        <w:rPr>
          <w:rFonts w:eastAsia="Songti TC"/>
          <w:szCs w:val="18"/>
        </w:rPr>
        <w:t>Rémi Brague, </w:t>
      </w:r>
      <w:r w:rsidRPr="00B5696A">
        <w:rPr>
          <w:rFonts w:eastAsia="Songti TC"/>
          <w:i/>
          <w:iCs/>
          <w:szCs w:val="18"/>
        </w:rPr>
        <w:t>Aristote et la question du monde</w:t>
      </w:r>
      <w:r w:rsidRPr="00B5696A">
        <w:rPr>
          <w:rFonts w:eastAsia="Songti TC"/>
          <w:szCs w:val="18"/>
        </w:rPr>
        <w:t>,</w:t>
      </w:r>
      <w:r w:rsidRPr="00B5696A">
        <w:rPr>
          <w:rFonts w:eastAsia="Songti TC"/>
          <w:szCs w:val="18"/>
        </w:rPr>
        <w:t>（</w:t>
      </w:r>
      <w:r w:rsidRPr="00C26D4D">
        <w:rPr>
          <w:rFonts w:eastAsia="Songti TC"/>
          <w:szCs w:val="18"/>
        </w:rPr>
        <w:t>亚里士多德与世界的问题</w:t>
      </w:r>
      <w:r w:rsidRPr="00B5696A">
        <w:rPr>
          <w:rFonts w:eastAsia="Songti TC"/>
          <w:szCs w:val="18"/>
        </w:rPr>
        <w:t>）</w:t>
      </w:r>
      <w:r w:rsidRPr="00B5696A">
        <w:rPr>
          <w:rFonts w:eastAsia="Songti TC"/>
          <w:szCs w:val="18"/>
        </w:rPr>
        <w:t xml:space="preserve"> Paris, 1988, p. 28; J. Strauss Clay, </w:t>
      </w:r>
      <w:r w:rsidRPr="00B5696A">
        <w:rPr>
          <w:rFonts w:eastAsia="Songti TC"/>
          <w:i/>
          <w:iCs/>
          <w:szCs w:val="18"/>
        </w:rPr>
        <w:t>The Wrath of Athena</w:t>
      </w:r>
      <w:r w:rsidRPr="00B5696A">
        <w:rPr>
          <w:rFonts w:eastAsia="Songti TC"/>
          <w:szCs w:val="18"/>
        </w:rPr>
        <w:t>, Gods and Men in the </w:t>
      </w:r>
      <w:r w:rsidRPr="00B5696A">
        <w:rPr>
          <w:rFonts w:eastAsia="Songti TC"/>
          <w:i/>
          <w:iCs/>
          <w:szCs w:val="18"/>
        </w:rPr>
        <w:t>Odyssey</w:t>
      </w:r>
      <w:r w:rsidRPr="00B5696A">
        <w:rPr>
          <w:rFonts w:eastAsia="Songti TC"/>
          <w:szCs w:val="18"/>
        </w:rPr>
        <w:t>（</w:t>
      </w:r>
      <w:r w:rsidRPr="00C26D4D">
        <w:rPr>
          <w:rFonts w:eastAsia="Songti TC"/>
          <w:szCs w:val="18"/>
        </w:rPr>
        <w:t>雅典娜之怒</w:t>
      </w:r>
      <w:r w:rsidRPr="00B5696A">
        <w:rPr>
          <w:rFonts w:eastAsia="Songti TC"/>
          <w:szCs w:val="18"/>
        </w:rPr>
        <w:t>，</w:t>
      </w:r>
      <w:r w:rsidRPr="00C26D4D">
        <w:rPr>
          <w:rFonts w:eastAsia="Songti TC"/>
          <w:szCs w:val="18"/>
        </w:rPr>
        <w:t>《奥德赛》中的神与人</w:t>
      </w:r>
      <w:r w:rsidRPr="00B5696A">
        <w:rPr>
          <w:rFonts w:eastAsia="Songti TC"/>
          <w:szCs w:val="18"/>
        </w:rPr>
        <w:t>）</w:t>
      </w:r>
      <w:r w:rsidRPr="00B5696A">
        <w:rPr>
          <w:rFonts w:eastAsia="Songti TC"/>
          <w:szCs w:val="18"/>
        </w:rPr>
        <w:t>, Princeton, 1983 p. 12, 13.</w:t>
      </w:r>
    </w:p>
  </w:footnote>
  <w:footnote w:id="6">
    <w:p w14:paraId="49733574" w14:textId="14BC255F" w:rsidR="00D80359" w:rsidRPr="00C26D4D" w:rsidRDefault="00D80359" w:rsidP="00C26D4D">
      <w:pPr>
        <w:pStyle w:val="Funotentext"/>
        <w:jc w:val="both"/>
        <w:rPr>
          <w:rFonts w:eastAsia="Songti TC"/>
        </w:rPr>
      </w:pPr>
      <w:r w:rsidRPr="00C26D4D">
        <w:rPr>
          <w:rStyle w:val="Funotenzeichen"/>
          <w:rFonts w:eastAsia="Songti TC"/>
        </w:rPr>
        <w:footnoteRef/>
      </w:r>
      <w:r w:rsidRPr="00C26D4D">
        <w:rPr>
          <w:rFonts w:eastAsia="Songti TC"/>
        </w:rPr>
        <w:t xml:space="preserve"> </w:t>
      </w:r>
      <w:r w:rsidRPr="00C26D4D">
        <w:rPr>
          <w:rFonts w:eastAsia="Songti TC"/>
          <w:szCs w:val="18"/>
        </w:rPr>
        <w:t>Jean Bottero, “Symptômes, signes, écriture”</w:t>
      </w:r>
      <w:r w:rsidRPr="00C26D4D">
        <w:rPr>
          <w:rFonts w:eastAsia="Songti TC"/>
          <w:szCs w:val="18"/>
        </w:rPr>
        <w:t>（症候、迹象、书写）</w:t>
      </w:r>
      <w:r w:rsidRPr="00C26D4D">
        <w:rPr>
          <w:rFonts w:eastAsia="Songti TC"/>
          <w:szCs w:val="18"/>
        </w:rPr>
        <w:t xml:space="preserve"> in J.-P. Vernant éd., </w:t>
      </w:r>
      <w:r w:rsidRPr="00C26D4D">
        <w:rPr>
          <w:rFonts w:eastAsia="Songti TC"/>
          <w:i/>
          <w:iCs/>
          <w:szCs w:val="18"/>
        </w:rPr>
        <w:t>Divination et Rationalité</w:t>
      </w:r>
      <w:r w:rsidRPr="00C26D4D">
        <w:rPr>
          <w:rFonts w:eastAsia="Songti TC"/>
          <w:szCs w:val="18"/>
        </w:rPr>
        <w:t>（占卜与理性）（</w:t>
      </w:r>
      <w:r w:rsidRPr="00C26D4D">
        <w:rPr>
          <w:rFonts w:eastAsia="Songti TC"/>
          <w:szCs w:val="18"/>
        </w:rPr>
        <w:t>, Paris, 1974, p. 70-86.</w:t>
      </w:r>
    </w:p>
  </w:footnote>
  <w:footnote w:id="7">
    <w:p w14:paraId="05DE7775" w14:textId="7E52599F" w:rsidR="009E707A" w:rsidRPr="00C26D4D" w:rsidRDefault="009E707A" w:rsidP="00C26D4D">
      <w:pPr>
        <w:pStyle w:val="Funotentext"/>
        <w:jc w:val="both"/>
        <w:rPr>
          <w:rFonts w:eastAsia="Songti TC"/>
          <w:lang w:val="fr-FR"/>
        </w:rPr>
      </w:pPr>
      <w:r w:rsidRPr="00C26D4D">
        <w:rPr>
          <w:rStyle w:val="Funotenzeichen"/>
          <w:rFonts w:eastAsia="Songti TC"/>
        </w:rPr>
        <w:footnoteRef/>
      </w:r>
      <w:r w:rsidRPr="00C26D4D">
        <w:rPr>
          <w:rFonts w:eastAsia="Songti TC"/>
          <w:lang w:val="fr-FR"/>
        </w:rPr>
        <w:t xml:space="preserve"> </w:t>
      </w:r>
      <w:r w:rsidRPr="00C26D4D">
        <w:rPr>
          <w:rFonts w:eastAsia="Songti TC"/>
          <w:szCs w:val="18"/>
          <w:lang w:val="fr-FR"/>
        </w:rPr>
        <w:t>Jean-Jacques Glassner,</w:t>
      </w:r>
      <w:r w:rsidRPr="00C26D4D">
        <w:rPr>
          <w:rFonts w:eastAsia="Songti TC"/>
          <w:i/>
          <w:iCs/>
          <w:color w:val="393939"/>
          <w:szCs w:val="18"/>
          <w:lang w:val="fr-FR" w:eastAsia="en-GB"/>
        </w:rPr>
        <w:t xml:space="preserve"> </w:t>
      </w:r>
      <w:r w:rsidRPr="00C26D4D">
        <w:rPr>
          <w:rFonts w:eastAsia="Songti TC"/>
          <w:i/>
          <w:iCs/>
          <w:szCs w:val="18"/>
          <w:lang w:val="fr-FR"/>
        </w:rPr>
        <w:t>op. cit</w:t>
      </w:r>
      <w:r w:rsidRPr="00C26D4D">
        <w:rPr>
          <w:rFonts w:eastAsia="Songti TC"/>
          <w:szCs w:val="18"/>
          <w:lang w:val="fr-FR"/>
        </w:rPr>
        <w:t>. p. 26-28.</w:t>
      </w:r>
    </w:p>
  </w:footnote>
  <w:footnote w:id="8">
    <w:p w14:paraId="1E4ADF2A" w14:textId="6B46E3EF" w:rsidR="009E707A" w:rsidRPr="00C26D4D" w:rsidRDefault="009E707A" w:rsidP="00C26D4D">
      <w:pPr>
        <w:pStyle w:val="Funotentext"/>
        <w:jc w:val="both"/>
        <w:rPr>
          <w:rFonts w:eastAsia="Songti TC"/>
        </w:rPr>
      </w:pPr>
      <w:r w:rsidRPr="00C26D4D">
        <w:rPr>
          <w:rStyle w:val="Funotenzeichen"/>
          <w:rFonts w:eastAsia="Songti TC"/>
        </w:rPr>
        <w:footnoteRef/>
      </w:r>
      <w:r w:rsidRPr="00C26D4D">
        <w:rPr>
          <w:rFonts w:eastAsia="Songti TC"/>
        </w:rPr>
        <w:t xml:space="preserve"> </w:t>
      </w:r>
      <w:r w:rsidRPr="00C26D4D">
        <w:rPr>
          <w:rFonts w:eastAsia="Songti TC"/>
          <w:szCs w:val="18"/>
          <w:lang w:val="fr-FR"/>
        </w:rPr>
        <w:t>Léon Vandermeersch, “L’imaginaire divinatoire dans l’histoire en Chine”</w:t>
      </w:r>
      <w:r w:rsidRPr="00C26D4D">
        <w:rPr>
          <w:rFonts w:eastAsia="Songti TC"/>
          <w:szCs w:val="18"/>
          <w:lang w:val="fr-FR"/>
        </w:rPr>
        <w:t>（</w:t>
      </w:r>
      <w:r w:rsidRPr="00C26D4D">
        <w:rPr>
          <w:rFonts w:eastAsia="Songti TC"/>
          <w:szCs w:val="18"/>
          <w:lang w:val="en-GB"/>
        </w:rPr>
        <w:t>中国历史中的占卜想象</w:t>
      </w:r>
      <w:r w:rsidRPr="00C26D4D">
        <w:rPr>
          <w:rFonts w:eastAsia="Songti TC"/>
          <w:szCs w:val="18"/>
          <w:lang w:val="fr-FR"/>
        </w:rPr>
        <w:t>）</w:t>
      </w:r>
      <w:r w:rsidRPr="00C26D4D">
        <w:rPr>
          <w:rFonts w:eastAsia="Songti TC"/>
          <w:szCs w:val="18"/>
          <w:lang w:val="fr-FR"/>
        </w:rPr>
        <w:t>, in M. Detienne ed., </w:t>
      </w:r>
      <w:r w:rsidRPr="00C26D4D">
        <w:rPr>
          <w:rFonts w:eastAsia="Songti TC"/>
          <w:i/>
          <w:iCs/>
          <w:szCs w:val="18"/>
          <w:lang w:val="fr-FR"/>
        </w:rPr>
        <w:t>Transcrire les mythologies</w:t>
      </w:r>
      <w:r w:rsidRPr="00C26D4D">
        <w:rPr>
          <w:rFonts w:eastAsia="Songti TC"/>
          <w:szCs w:val="18"/>
          <w:lang w:val="fr-FR"/>
        </w:rPr>
        <w:t>（</w:t>
      </w:r>
      <w:r w:rsidRPr="00C26D4D">
        <w:rPr>
          <w:rFonts w:eastAsia="Songti TC"/>
          <w:szCs w:val="18"/>
          <w:lang w:val="en-GB"/>
        </w:rPr>
        <w:t>转写神话</w:t>
      </w:r>
      <w:r w:rsidRPr="00C26D4D">
        <w:rPr>
          <w:rFonts w:eastAsia="Songti TC"/>
          <w:szCs w:val="18"/>
          <w:lang w:val="fr-FR"/>
        </w:rPr>
        <w:t>）</w:t>
      </w:r>
      <w:r w:rsidRPr="00C26D4D">
        <w:rPr>
          <w:rFonts w:eastAsia="Songti TC"/>
          <w:szCs w:val="18"/>
          <w:lang w:val="fr-FR"/>
        </w:rPr>
        <w:t>, Paris, 1994, p. 103-113.</w:t>
      </w:r>
    </w:p>
  </w:footnote>
  <w:footnote w:id="9">
    <w:p w14:paraId="1C6FFE96" w14:textId="51338B01" w:rsidR="009E707A" w:rsidRPr="00C26D4D" w:rsidRDefault="009E707A" w:rsidP="00C26D4D">
      <w:pPr>
        <w:pStyle w:val="Funotentext"/>
        <w:jc w:val="both"/>
        <w:rPr>
          <w:rFonts w:eastAsia="Songti TC"/>
        </w:rPr>
      </w:pPr>
      <w:r w:rsidRPr="00C26D4D">
        <w:rPr>
          <w:rStyle w:val="Funotenzeichen"/>
          <w:rFonts w:eastAsia="Songti TC"/>
        </w:rPr>
        <w:footnoteRef/>
      </w:r>
      <w:r w:rsidRPr="00C26D4D">
        <w:rPr>
          <w:rFonts w:eastAsia="Songti TC"/>
        </w:rPr>
        <w:t xml:space="preserve"> </w:t>
      </w:r>
      <w:r w:rsidRPr="00C26D4D">
        <w:rPr>
          <w:rFonts w:eastAsia="Songti TC"/>
          <w:szCs w:val="18"/>
        </w:rPr>
        <w:t>John Scheid, “Le temps de la cité et l’histoire des prêtres”</w:t>
      </w:r>
      <w:r w:rsidRPr="00C26D4D">
        <w:rPr>
          <w:rFonts w:eastAsia="Songti TC"/>
          <w:szCs w:val="18"/>
        </w:rPr>
        <w:t>（城市的时间与祭司的历史）与</w:t>
      </w:r>
      <w:r w:rsidRPr="00C26D4D">
        <w:rPr>
          <w:rFonts w:eastAsia="Songti TC"/>
          <w:szCs w:val="18"/>
        </w:rPr>
        <w:t>, in </w:t>
      </w:r>
      <w:r w:rsidRPr="00C26D4D">
        <w:rPr>
          <w:rFonts w:eastAsia="Songti TC"/>
          <w:i/>
          <w:iCs/>
          <w:szCs w:val="18"/>
        </w:rPr>
        <w:t>Transcrire les mythologies</w:t>
      </w:r>
      <w:r w:rsidRPr="00C26D4D">
        <w:rPr>
          <w:rFonts w:eastAsia="Songti TC"/>
          <w:szCs w:val="18"/>
        </w:rPr>
        <w:t>, Paris, 1994, p. 149-158.</w:t>
      </w:r>
    </w:p>
  </w:footnote>
  <w:footnote w:id="10">
    <w:p w14:paraId="0B6F3945" w14:textId="48F871BC" w:rsidR="009E707A" w:rsidRPr="00C26D4D" w:rsidRDefault="009E707A" w:rsidP="00C26D4D">
      <w:pPr>
        <w:pStyle w:val="Funotentext"/>
        <w:jc w:val="both"/>
        <w:rPr>
          <w:rFonts w:eastAsia="Songti TC"/>
        </w:rPr>
      </w:pPr>
      <w:r w:rsidRPr="00C26D4D">
        <w:rPr>
          <w:rStyle w:val="Funotenzeichen"/>
          <w:rFonts w:eastAsia="Songti TC"/>
        </w:rPr>
        <w:footnoteRef/>
      </w:r>
      <w:r w:rsidRPr="00C26D4D">
        <w:rPr>
          <w:rFonts w:eastAsia="Songti TC"/>
        </w:rPr>
        <w:t xml:space="preserve"> </w:t>
      </w:r>
      <w:r w:rsidRPr="00C26D4D">
        <w:rPr>
          <w:rFonts w:eastAsia="Songti TC"/>
          <w:szCs w:val="18"/>
        </w:rPr>
        <w:t>See, for example, Moses I.Finley, “Lost: the Trojan War”</w:t>
      </w:r>
      <w:r w:rsidRPr="00C26D4D">
        <w:rPr>
          <w:rFonts w:eastAsia="Songti TC"/>
          <w:szCs w:val="18"/>
        </w:rPr>
        <w:t>（失落：特洛伊战争）</w:t>
      </w:r>
      <w:r w:rsidRPr="00C26D4D">
        <w:rPr>
          <w:rFonts w:eastAsia="Songti TC"/>
          <w:szCs w:val="18"/>
        </w:rPr>
        <w:t>, </w:t>
      </w:r>
      <w:r w:rsidRPr="00C26D4D">
        <w:rPr>
          <w:rFonts w:eastAsia="Songti TC"/>
          <w:i/>
          <w:iCs/>
          <w:szCs w:val="18"/>
        </w:rPr>
        <w:t>Aspects of Antiquity</w:t>
      </w:r>
      <w:r w:rsidRPr="00C26D4D">
        <w:rPr>
          <w:rFonts w:eastAsia="Songti TC"/>
          <w:szCs w:val="18"/>
        </w:rPr>
        <w:t>（古老的各个方面）</w:t>
      </w:r>
      <w:r w:rsidRPr="00C26D4D">
        <w:rPr>
          <w:rFonts w:eastAsia="Songti TC"/>
          <w:szCs w:val="18"/>
        </w:rPr>
        <w:t>, Penguin Books, 1972, p. 31-42.</w:t>
      </w:r>
    </w:p>
  </w:footnote>
  <w:footnote w:id="11">
    <w:p w14:paraId="2911983A" w14:textId="7A332997" w:rsidR="009E707A" w:rsidRPr="00C26D4D" w:rsidRDefault="009E707A" w:rsidP="00C26D4D">
      <w:pPr>
        <w:pStyle w:val="Funotentext"/>
        <w:jc w:val="both"/>
        <w:rPr>
          <w:rFonts w:eastAsia="Songti TC"/>
        </w:rPr>
      </w:pPr>
      <w:r w:rsidRPr="00C26D4D">
        <w:rPr>
          <w:rStyle w:val="Funotenzeichen"/>
          <w:rFonts w:eastAsia="Songti TC"/>
        </w:rPr>
        <w:footnoteRef/>
      </w:r>
      <w:r w:rsidRPr="00C26D4D">
        <w:rPr>
          <w:rFonts w:eastAsia="Songti TC"/>
        </w:rPr>
        <w:t xml:space="preserve"> </w:t>
      </w:r>
      <w:r w:rsidRPr="00C26D4D">
        <w:rPr>
          <w:rFonts w:eastAsia="Songti TC"/>
          <w:szCs w:val="18"/>
          <w:lang w:val="fr-FR"/>
        </w:rPr>
        <w:t>Homer, </w:t>
      </w:r>
      <w:r w:rsidRPr="00C26D4D">
        <w:rPr>
          <w:rFonts w:eastAsia="Songti TC"/>
          <w:i/>
          <w:iCs/>
          <w:szCs w:val="18"/>
          <w:lang w:val="fr-FR"/>
        </w:rPr>
        <w:t>Odyssey</w:t>
      </w:r>
      <w:r w:rsidRPr="00C26D4D">
        <w:rPr>
          <w:rFonts w:eastAsia="Songti TC"/>
          <w:szCs w:val="18"/>
          <w:lang w:val="fr-FR"/>
        </w:rPr>
        <w:t>（</w:t>
      </w:r>
      <w:r w:rsidRPr="00C26D4D">
        <w:rPr>
          <w:rFonts w:eastAsia="Songti TC"/>
          <w:szCs w:val="18"/>
        </w:rPr>
        <w:t>奥德赛</w:t>
      </w:r>
      <w:r w:rsidRPr="00C26D4D">
        <w:rPr>
          <w:rFonts w:eastAsia="Songti TC"/>
          <w:szCs w:val="18"/>
          <w:lang w:val="fr-FR"/>
        </w:rPr>
        <w:t>）</w:t>
      </w:r>
      <w:r w:rsidRPr="00C26D4D">
        <w:rPr>
          <w:rFonts w:eastAsia="Songti TC"/>
          <w:i/>
          <w:iCs/>
          <w:szCs w:val="18"/>
          <w:lang w:val="fr-FR"/>
        </w:rPr>
        <w:t>,</w:t>
      </w:r>
      <w:r w:rsidRPr="00C26D4D">
        <w:rPr>
          <w:rFonts w:eastAsia="Songti TC"/>
          <w:szCs w:val="18"/>
          <w:lang w:val="fr-FR"/>
        </w:rPr>
        <w:t> 8, 487-520.</w:t>
      </w:r>
    </w:p>
  </w:footnote>
  <w:footnote w:id="12">
    <w:p w14:paraId="2AA58E11" w14:textId="22F569CB" w:rsidR="009E707A" w:rsidRPr="00C26D4D" w:rsidRDefault="009E707A" w:rsidP="00C26D4D">
      <w:pPr>
        <w:pStyle w:val="Funotentext"/>
        <w:jc w:val="both"/>
        <w:rPr>
          <w:rFonts w:eastAsia="Songti TC"/>
        </w:rPr>
      </w:pPr>
      <w:r w:rsidRPr="00C26D4D">
        <w:rPr>
          <w:rStyle w:val="Funotenzeichen"/>
          <w:rFonts w:eastAsia="Songti TC"/>
        </w:rPr>
        <w:footnoteRef/>
      </w:r>
      <w:r w:rsidRPr="00C26D4D">
        <w:rPr>
          <w:rFonts w:eastAsia="Songti TC"/>
        </w:rPr>
        <w:t xml:space="preserve"> </w:t>
      </w:r>
      <w:r w:rsidRPr="00C26D4D">
        <w:rPr>
          <w:rFonts w:eastAsia="Songti TC"/>
          <w:szCs w:val="18"/>
          <w:lang w:val="fr-FR"/>
        </w:rPr>
        <w:t>Hannah. Arendt, </w:t>
      </w:r>
      <w:r w:rsidRPr="00C26D4D">
        <w:rPr>
          <w:rFonts w:eastAsia="Songti TC"/>
          <w:i/>
          <w:iCs/>
          <w:szCs w:val="18"/>
          <w:lang w:val="fr-FR"/>
        </w:rPr>
        <w:t>Between Past and Future</w:t>
      </w:r>
      <w:r w:rsidRPr="00C26D4D">
        <w:rPr>
          <w:rFonts w:eastAsia="Songti TC"/>
          <w:szCs w:val="18"/>
          <w:lang w:val="fr-FR"/>
        </w:rPr>
        <w:t>（</w:t>
      </w:r>
      <w:r w:rsidRPr="00C26D4D">
        <w:rPr>
          <w:rFonts w:eastAsia="Songti TC"/>
          <w:szCs w:val="18"/>
        </w:rPr>
        <w:t>在过去与未来之间</w:t>
      </w:r>
      <w:r w:rsidRPr="00C26D4D">
        <w:rPr>
          <w:rFonts w:eastAsia="Songti TC"/>
          <w:szCs w:val="18"/>
          <w:lang w:val="fr-FR"/>
        </w:rPr>
        <w:t>）</w:t>
      </w:r>
      <w:r w:rsidRPr="00C26D4D">
        <w:rPr>
          <w:rFonts w:eastAsia="Songti TC"/>
          <w:szCs w:val="18"/>
          <w:lang w:val="fr-FR"/>
        </w:rPr>
        <w:t>, New York, the Viking Press, 1954, p. 45.</w:t>
      </w:r>
    </w:p>
  </w:footnote>
  <w:footnote w:id="13">
    <w:p w14:paraId="475A31A0" w14:textId="0E5810C5" w:rsidR="009E707A" w:rsidRPr="00C26D4D" w:rsidRDefault="009E707A" w:rsidP="00C26D4D">
      <w:pPr>
        <w:pStyle w:val="Funotentext"/>
        <w:jc w:val="both"/>
        <w:rPr>
          <w:rFonts w:eastAsia="Songti TC"/>
        </w:rPr>
      </w:pPr>
      <w:r w:rsidRPr="00C26D4D">
        <w:rPr>
          <w:rStyle w:val="Funotenzeichen"/>
          <w:rFonts w:eastAsia="Songti TC"/>
        </w:rPr>
        <w:footnoteRef/>
      </w:r>
      <w:r w:rsidRPr="00C26D4D">
        <w:rPr>
          <w:rFonts w:eastAsia="Songti TC"/>
        </w:rPr>
        <w:t xml:space="preserve"> </w:t>
      </w:r>
      <w:r w:rsidRPr="00C26D4D">
        <w:rPr>
          <w:rFonts w:eastAsia="Songti TC"/>
          <w:szCs w:val="18"/>
        </w:rPr>
        <w:t>同上，</w:t>
      </w:r>
      <w:r w:rsidRPr="00C26D4D">
        <w:rPr>
          <w:rFonts w:eastAsia="Songti TC"/>
          <w:szCs w:val="18"/>
        </w:rPr>
        <w:t>Arendt, Ibid., p. 45.</w:t>
      </w:r>
    </w:p>
  </w:footnote>
  <w:footnote w:id="14">
    <w:p w14:paraId="301019D0" w14:textId="7FAF0115" w:rsidR="009E707A" w:rsidRPr="00C26D4D" w:rsidRDefault="009E707A" w:rsidP="00C26D4D">
      <w:pPr>
        <w:pStyle w:val="Funotentext"/>
        <w:jc w:val="both"/>
        <w:rPr>
          <w:rFonts w:eastAsia="Songti TC"/>
          <w:lang w:val="en-US"/>
        </w:rPr>
      </w:pPr>
      <w:r w:rsidRPr="00C26D4D">
        <w:rPr>
          <w:rStyle w:val="Funotenzeichen"/>
          <w:rFonts w:eastAsia="Songti TC"/>
        </w:rPr>
        <w:footnoteRef/>
      </w:r>
      <w:r w:rsidRPr="00C26D4D">
        <w:rPr>
          <w:rFonts w:eastAsia="Songti TC"/>
          <w:lang w:val="en-US"/>
        </w:rPr>
        <w:t xml:space="preserve"> </w:t>
      </w:r>
      <w:r w:rsidRPr="00C26D4D">
        <w:rPr>
          <w:rFonts w:eastAsia="Songti TC"/>
          <w:szCs w:val="18"/>
          <w:lang w:val="en-GB"/>
        </w:rPr>
        <w:t>Geoffrey Lloyd, </w:t>
      </w:r>
      <w:r w:rsidRPr="00C26D4D">
        <w:rPr>
          <w:rFonts w:eastAsia="Songti TC"/>
          <w:i/>
          <w:iCs/>
          <w:szCs w:val="18"/>
          <w:lang w:val="en-GB"/>
        </w:rPr>
        <w:t>The Revolution of Wisdom</w:t>
      </w:r>
      <w:r w:rsidRPr="00C26D4D">
        <w:rPr>
          <w:rFonts w:eastAsia="Songti TC"/>
          <w:szCs w:val="18"/>
          <w:lang w:val="en-GB"/>
        </w:rPr>
        <w:t>（智慧的革命）</w:t>
      </w:r>
      <w:r w:rsidRPr="00C26D4D">
        <w:rPr>
          <w:rFonts w:eastAsia="Songti TC"/>
          <w:i/>
          <w:iCs/>
          <w:szCs w:val="18"/>
          <w:lang w:val="en-GB"/>
        </w:rPr>
        <w:t>,</w:t>
      </w:r>
      <w:r w:rsidRPr="00C26D4D">
        <w:rPr>
          <w:rFonts w:eastAsia="Songti TC"/>
          <w:szCs w:val="18"/>
          <w:lang w:val="en-GB"/>
        </w:rPr>
        <w:t> Berkeley, University of California Press, 1987.</w:t>
      </w:r>
    </w:p>
  </w:footnote>
  <w:footnote w:id="15">
    <w:p w14:paraId="41EAD45B" w14:textId="60BA9BBD" w:rsidR="009E707A" w:rsidRPr="00C26D4D" w:rsidRDefault="009E707A" w:rsidP="00C26D4D">
      <w:pPr>
        <w:pStyle w:val="Funotentext"/>
        <w:jc w:val="both"/>
        <w:rPr>
          <w:rFonts w:eastAsia="Songti TC"/>
        </w:rPr>
      </w:pPr>
      <w:r w:rsidRPr="00C26D4D">
        <w:rPr>
          <w:rStyle w:val="Funotenzeichen"/>
          <w:rFonts w:eastAsia="Songti TC"/>
        </w:rPr>
        <w:footnoteRef/>
      </w:r>
      <w:r w:rsidRPr="00C26D4D">
        <w:rPr>
          <w:rFonts w:eastAsia="Songti TC"/>
        </w:rPr>
        <w:t xml:space="preserve"> </w:t>
      </w:r>
      <w:r w:rsidRPr="00C26D4D">
        <w:rPr>
          <w:rFonts w:eastAsia="Songti TC"/>
          <w:szCs w:val="18"/>
          <w:lang w:val="en-GB"/>
        </w:rPr>
        <w:t>Arnaldo Momigliano, </w:t>
      </w:r>
      <w:r w:rsidRPr="00C26D4D">
        <w:rPr>
          <w:rFonts w:eastAsia="Songti TC"/>
          <w:i/>
          <w:iCs/>
          <w:szCs w:val="18"/>
          <w:lang w:val="en-GB"/>
        </w:rPr>
        <w:t>The Classical Foundations of Modern Historiography</w:t>
      </w:r>
      <w:r w:rsidRPr="00C26D4D">
        <w:rPr>
          <w:rFonts w:eastAsia="Songti TC"/>
          <w:szCs w:val="18"/>
          <w:lang w:val="en-GB"/>
        </w:rPr>
        <w:t>（现代历史学的古典基础）</w:t>
      </w:r>
      <w:r w:rsidRPr="00C26D4D">
        <w:rPr>
          <w:rFonts w:eastAsia="Songti TC"/>
          <w:szCs w:val="18"/>
          <w:lang w:val="en-GB"/>
        </w:rPr>
        <w:t>, Berkeley, 1990, p. 18 sq.</w:t>
      </w:r>
    </w:p>
  </w:footnote>
  <w:footnote w:id="16">
    <w:p w14:paraId="67EBCD40" w14:textId="590806B4" w:rsidR="009E707A" w:rsidRPr="00C26D4D" w:rsidRDefault="009E707A" w:rsidP="00C26D4D">
      <w:pPr>
        <w:pStyle w:val="Funotentext"/>
        <w:jc w:val="both"/>
        <w:rPr>
          <w:rFonts w:eastAsia="Songti TC"/>
        </w:rPr>
      </w:pPr>
      <w:r w:rsidRPr="00C26D4D">
        <w:rPr>
          <w:rStyle w:val="Funotenzeichen"/>
          <w:rFonts w:eastAsia="Songti TC"/>
        </w:rPr>
        <w:footnoteRef/>
      </w:r>
      <w:r w:rsidRPr="00C26D4D">
        <w:rPr>
          <w:rFonts w:eastAsia="Songti TC"/>
        </w:rPr>
        <w:t xml:space="preserve"> </w:t>
      </w:r>
      <w:r w:rsidRPr="00C26D4D">
        <w:rPr>
          <w:rFonts w:eastAsia="Songti TC"/>
          <w:szCs w:val="18"/>
          <w:lang w:val="en-GB"/>
        </w:rPr>
        <w:t>Herodotus, </w:t>
      </w:r>
      <w:r w:rsidRPr="00C26D4D">
        <w:rPr>
          <w:rFonts w:eastAsia="Songti TC"/>
          <w:i/>
          <w:iCs/>
          <w:szCs w:val="18"/>
          <w:lang w:val="en-GB"/>
        </w:rPr>
        <w:t>Histories</w:t>
      </w:r>
      <w:r w:rsidRPr="00C26D4D">
        <w:rPr>
          <w:rFonts w:eastAsia="Songti TC"/>
          <w:szCs w:val="18"/>
          <w:lang w:val="en-GB"/>
        </w:rPr>
        <w:t>（历史）</w:t>
      </w:r>
      <w:r w:rsidRPr="00C26D4D">
        <w:rPr>
          <w:rFonts w:eastAsia="Songti TC"/>
          <w:i/>
          <w:iCs/>
          <w:szCs w:val="18"/>
          <w:lang w:val="en-GB"/>
        </w:rPr>
        <w:t>, </w:t>
      </w:r>
      <w:r w:rsidRPr="00C26D4D">
        <w:rPr>
          <w:rFonts w:eastAsia="Songti TC"/>
          <w:szCs w:val="18"/>
          <w:lang w:val="en-GB"/>
        </w:rPr>
        <w:t>I, 1</w:t>
      </w:r>
      <w:r w:rsidRPr="00C26D4D">
        <w:rPr>
          <w:rFonts w:eastAsia="Songti TC"/>
          <w:szCs w:val="18"/>
        </w:rPr>
        <w:t>.</w:t>
      </w:r>
    </w:p>
  </w:footnote>
  <w:footnote w:id="17">
    <w:p w14:paraId="19409397" w14:textId="6A4147AC" w:rsidR="009E707A" w:rsidRPr="00C26D4D" w:rsidRDefault="009E707A" w:rsidP="00C26D4D">
      <w:pPr>
        <w:pStyle w:val="Funotentext"/>
        <w:jc w:val="both"/>
        <w:rPr>
          <w:rFonts w:eastAsia="Songti TC"/>
        </w:rPr>
      </w:pPr>
      <w:r w:rsidRPr="00C26D4D">
        <w:rPr>
          <w:rStyle w:val="Funotenzeichen"/>
          <w:rFonts w:eastAsia="Songti TC"/>
        </w:rPr>
        <w:footnoteRef/>
      </w:r>
      <w:r w:rsidRPr="00C26D4D">
        <w:rPr>
          <w:rFonts w:eastAsia="Songti TC"/>
        </w:rPr>
        <w:t xml:space="preserve"> </w:t>
      </w:r>
      <w:r w:rsidRPr="00C26D4D">
        <w:rPr>
          <w:rFonts w:eastAsia="Songti TC"/>
          <w:szCs w:val="18"/>
          <w:lang w:val="en-GB"/>
        </w:rPr>
        <w:t>Herodotus, </w:t>
      </w:r>
      <w:r w:rsidRPr="00C26D4D">
        <w:rPr>
          <w:rFonts w:eastAsia="Songti TC"/>
          <w:i/>
          <w:iCs/>
          <w:szCs w:val="18"/>
          <w:lang w:val="en-GB"/>
        </w:rPr>
        <w:t>Histories, </w:t>
      </w:r>
      <w:r w:rsidRPr="00C26D4D">
        <w:rPr>
          <w:rFonts w:eastAsia="Songti TC"/>
          <w:szCs w:val="18"/>
          <w:lang w:val="en-GB"/>
        </w:rPr>
        <w:t>1, 5.</w:t>
      </w:r>
    </w:p>
  </w:footnote>
  <w:footnote w:id="18">
    <w:p w14:paraId="60451029" w14:textId="2207739E" w:rsidR="009E707A" w:rsidRPr="00C26D4D" w:rsidRDefault="009E707A" w:rsidP="00C26D4D">
      <w:pPr>
        <w:pStyle w:val="Funotentext"/>
        <w:jc w:val="both"/>
        <w:rPr>
          <w:rFonts w:eastAsia="Songti TC"/>
        </w:rPr>
      </w:pPr>
      <w:r w:rsidRPr="00C26D4D">
        <w:rPr>
          <w:rStyle w:val="Funotenzeichen"/>
          <w:rFonts w:eastAsia="Songti TC"/>
        </w:rPr>
        <w:footnoteRef/>
      </w:r>
      <w:r w:rsidRPr="00C26D4D">
        <w:rPr>
          <w:rFonts w:eastAsia="Songti TC"/>
        </w:rPr>
        <w:t xml:space="preserve"> </w:t>
      </w:r>
      <w:r w:rsidRPr="00C26D4D">
        <w:rPr>
          <w:rFonts w:eastAsia="Songti TC"/>
          <w:szCs w:val="18"/>
          <w:lang w:val="en-GB"/>
        </w:rPr>
        <w:t>Marcel Detienne, </w:t>
      </w:r>
      <w:r w:rsidRPr="00C26D4D">
        <w:rPr>
          <w:rFonts w:eastAsia="Songti TC"/>
          <w:i/>
          <w:iCs/>
          <w:szCs w:val="18"/>
          <w:lang w:val="en-GB"/>
        </w:rPr>
        <w:t>Apollon le couteau à la main</w:t>
      </w:r>
      <w:r w:rsidRPr="00C26D4D">
        <w:rPr>
          <w:rFonts w:eastAsia="Songti TC"/>
          <w:szCs w:val="18"/>
          <w:lang w:val="en-GB"/>
        </w:rPr>
        <w:t>（持刀的阿波罗）</w:t>
      </w:r>
      <w:r w:rsidRPr="00C26D4D">
        <w:rPr>
          <w:rFonts w:eastAsia="Songti TC"/>
          <w:szCs w:val="18"/>
          <w:lang w:val="en-GB"/>
        </w:rPr>
        <w:t>, Paris, 1998, p. 138 sq.</w:t>
      </w:r>
    </w:p>
  </w:footnote>
  <w:footnote w:id="19">
    <w:p w14:paraId="3BBD2852" w14:textId="5D7EA1F2" w:rsidR="009E707A" w:rsidRPr="00C26D4D" w:rsidRDefault="009E707A" w:rsidP="00C26D4D">
      <w:pPr>
        <w:pStyle w:val="Funotentext"/>
        <w:jc w:val="both"/>
        <w:rPr>
          <w:rFonts w:eastAsia="Songti TC"/>
          <w:lang w:val="fr-FR"/>
        </w:rPr>
      </w:pPr>
      <w:r w:rsidRPr="00C26D4D">
        <w:rPr>
          <w:rStyle w:val="Funotenzeichen"/>
          <w:rFonts w:eastAsia="Songti TC"/>
        </w:rPr>
        <w:footnoteRef/>
      </w:r>
      <w:r w:rsidRPr="00C26D4D">
        <w:rPr>
          <w:rFonts w:eastAsia="Songti TC"/>
          <w:lang w:val="fr-FR"/>
        </w:rPr>
        <w:t xml:space="preserve"> </w:t>
      </w:r>
      <w:r w:rsidRPr="00C26D4D">
        <w:rPr>
          <w:rFonts w:eastAsia="Songti TC"/>
          <w:szCs w:val="18"/>
          <w:lang w:val="fr-FR"/>
        </w:rPr>
        <w:t>Heraclitus, fragments</w:t>
      </w:r>
      <w:r w:rsidRPr="00C26D4D">
        <w:rPr>
          <w:rFonts w:eastAsia="Songti TC"/>
          <w:szCs w:val="18"/>
          <w:lang w:val="fr-FR"/>
        </w:rPr>
        <w:t>（</w:t>
      </w:r>
      <w:r w:rsidRPr="00C26D4D">
        <w:rPr>
          <w:rFonts w:eastAsia="Songti TC"/>
          <w:szCs w:val="18"/>
          <w:lang w:val="en-GB"/>
        </w:rPr>
        <w:t>片段</w:t>
      </w:r>
      <w:r w:rsidRPr="00C26D4D">
        <w:rPr>
          <w:rFonts w:eastAsia="Songti TC"/>
          <w:szCs w:val="18"/>
          <w:lang w:val="fr-FR"/>
        </w:rPr>
        <w:t>）</w:t>
      </w:r>
      <w:r w:rsidRPr="00C26D4D">
        <w:rPr>
          <w:rFonts w:eastAsia="Songti TC"/>
          <w:szCs w:val="18"/>
          <w:lang w:val="fr-FR"/>
        </w:rPr>
        <w:t xml:space="preserve"> 93.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35CA1"/>
    <w:multiLevelType w:val="multilevel"/>
    <w:tmpl w:val="61B35CA1"/>
    <w:lvl w:ilvl="0">
      <w:start w:val="1"/>
      <w:numFmt w:val="chineseCountingThousand"/>
      <w:pStyle w:val="berschrift1"/>
      <w:lvlText w:val="第%1章"/>
      <w:lvlJc w:val="left"/>
      <w:pPr>
        <w:ind w:left="1932" w:firstLine="0"/>
      </w:pPr>
      <w:rPr>
        <w:b w:val="0"/>
        <w:bCs w:val="0"/>
        <w:i w:val="0"/>
        <w:iCs w:val="0"/>
        <w:caps w:val="0"/>
        <w:smallCaps w:val="0"/>
        <w:strike w:val="0"/>
        <w:dstrike w:val="0"/>
        <w:vanish w:val="0"/>
        <w:color w:val="000000"/>
        <w:spacing w:val="0"/>
        <w:position w:val="0"/>
        <w:u w:val="none"/>
        <w:vertAlign w:val="baseline"/>
      </w:rPr>
    </w:lvl>
    <w:lvl w:ilvl="1">
      <w:start w:val="1"/>
      <w:numFmt w:val="decimal"/>
      <w:pStyle w:val="berschrift2"/>
      <w:isLgl/>
      <w:lvlText w:val="%1.%2"/>
      <w:lvlJc w:val="left"/>
      <w:pPr>
        <w:ind w:left="1932" w:firstLine="0"/>
      </w:pPr>
      <w:rPr>
        <w:rFonts w:ascii="Times New Roman" w:eastAsia="SimHei" w:hAnsi="Times New Roman" w:hint="default"/>
        <w:b/>
        <w:i w:val="0"/>
        <w:sz w:val="28"/>
        <w:szCs w:val="28"/>
      </w:rPr>
    </w:lvl>
    <w:lvl w:ilvl="2">
      <w:start w:val="1"/>
      <w:numFmt w:val="decimal"/>
      <w:isLgl/>
      <w:lvlText w:val="%1.%2.%3"/>
      <w:lvlJc w:val="left"/>
      <w:pPr>
        <w:ind w:left="2357" w:firstLine="0"/>
      </w:pPr>
      <w:rPr>
        <w:b/>
        <w:bCs w:val="0"/>
        <w:i w:val="0"/>
        <w:iCs w:val="0"/>
        <w:caps w:val="0"/>
        <w:smallCaps w:val="0"/>
        <w:strike w:val="0"/>
        <w:dstrike w:val="0"/>
        <w:vanish w:val="0"/>
        <w:color w:val="000000"/>
        <w:spacing w:val="0"/>
        <w:position w:val="0"/>
        <w:u w:val="none"/>
        <w:vertAlign w:val="baseline"/>
      </w:rPr>
    </w:lvl>
    <w:lvl w:ilvl="3">
      <w:start w:val="1"/>
      <w:numFmt w:val="decimal"/>
      <w:isLgl/>
      <w:lvlText w:val="%1.%2.%3.%4"/>
      <w:lvlJc w:val="left"/>
      <w:pPr>
        <w:ind w:left="2783" w:firstLine="0"/>
      </w:pPr>
      <w:rPr>
        <w:rFonts w:hint="eastAsia"/>
      </w:rPr>
    </w:lvl>
    <w:lvl w:ilvl="4">
      <w:start w:val="1"/>
      <w:numFmt w:val="decimal"/>
      <w:isLgl/>
      <w:lvlText w:val="%1.%2.%3.%4.%5"/>
      <w:lvlJc w:val="left"/>
      <w:pPr>
        <w:ind w:left="3208" w:firstLine="0"/>
      </w:pPr>
      <w:rPr>
        <w:rFonts w:hint="eastAsia"/>
      </w:rPr>
    </w:lvl>
    <w:lvl w:ilvl="5">
      <w:start w:val="1"/>
      <w:numFmt w:val="decimal"/>
      <w:isLgl/>
      <w:lvlText w:val="%1.%2.%3.%4.%5.%6"/>
      <w:lvlJc w:val="left"/>
      <w:pPr>
        <w:ind w:left="3633" w:firstLine="0"/>
      </w:pPr>
      <w:rPr>
        <w:rFonts w:hint="eastAsia"/>
      </w:rPr>
    </w:lvl>
    <w:lvl w:ilvl="6">
      <w:start w:val="1"/>
      <w:numFmt w:val="decimal"/>
      <w:isLgl/>
      <w:lvlText w:val="%1.%2.%3.%4.%5.%6.%7"/>
      <w:lvlJc w:val="left"/>
      <w:pPr>
        <w:ind w:left="4058" w:firstLine="0"/>
      </w:pPr>
      <w:rPr>
        <w:rFonts w:hint="eastAsia"/>
      </w:rPr>
    </w:lvl>
    <w:lvl w:ilvl="7">
      <w:start w:val="1"/>
      <w:numFmt w:val="decimal"/>
      <w:lvlRestart w:val="1"/>
      <w:isLgl/>
      <w:lvlText w:val="表%1.%8"/>
      <w:lvlJc w:val="left"/>
      <w:pPr>
        <w:ind w:left="1932" w:firstLine="0"/>
      </w:pPr>
      <w:rPr>
        <w:rFonts w:hint="eastAsia"/>
      </w:rPr>
    </w:lvl>
    <w:lvl w:ilvl="8">
      <w:start w:val="1"/>
      <w:numFmt w:val="decimal"/>
      <w:lvlRestart w:val="1"/>
      <w:isLgl/>
      <w:lvlText w:val="图%1.%9"/>
      <w:lvlJc w:val="left"/>
      <w:pPr>
        <w:ind w:left="1932" w:firstLine="0"/>
      </w:pPr>
      <w:rPr>
        <w:rFonts w:hint="eastAsia"/>
      </w:rPr>
    </w:lvl>
  </w:abstractNum>
  <w:num w:numId="1" w16cid:durableId="1580367502">
    <w:abstractNumId w:val="0"/>
  </w:num>
  <w:num w:numId="2" w16cid:durableId="1441997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bordersDoNotSurroundHeader/>
  <w:bordersDoNotSurroundFooter/>
  <w:defaultTabStop w:val="420"/>
  <w:hyphenationZone w:val="425"/>
  <w:drawingGridHorizontalSpacing w:val="100"/>
  <w:drawingGridVerticalSpacing w:val="156"/>
  <w:displayHorizontalDrawingGridEvery w:val="0"/>
  <w:displayVerticalDrawingGridEvery w:val="2"/>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02A"/>
    <w:rsid w:val="000062EE"/>
    <w:rsid w:val="000667F3"/>
    <w:rsid w:val="00096DC9"/>
    <w:rsid w:val="000A65AE"/>
    <w:rsid w:val="000B4C8A"/>
    <w:rsid w:val="0011013F"/>
    <w:rsid w:val="00167A90"/>
    <w:rsid w:val="001C181C"/>
    <w:rsid w:val="001C4115"/>
    <w:rsid w:val="001D319D"/>
    <w:rsid w:val="001F1A53"/>
    <w:rsid w:val="00201CED"/>
    <w:rsid w:val="002137A6"/>
    <w:rsid w:val="00221EAD"/>
    <w:rsid w:val="00283425"/>
    <w:rsid w:val="00287FD1"/>
    <w:rsid w:val="002D15EF"/>
    <w:rsid w:val="002E4C1B"/>
    <w:rsid w:val="003273B6"/>
    <w:rsid w:val="00336882"/>
    <w:rsid w:val="00342D83"/>
    <w:rsid w:val="00347ADD"/>
    <w:rsid w:val="003556F4"/>
    <w:rsid w:val="00365C93"/>
    <w:rsid w:val="003C75B3"/>
    <w:rsid w:val="003D708A"/>
    <w:rsid w:val="00432424"/>
    <w:rsid w:val="00481A45"/>
    <w:rsid w:val="004A2A62"/>
    <w:rsid w:val="004B01A0"/>
    <w:rsid w:val="004B07A2"/>
    <w:rsid w:val="004C70A7"/>
    <w:rsid w:val="004F0613"/>
    <w:rsid w:val="005406C6"/>
    <w:rsid w:val="00582F84"/>
    <w:rsid w:val="005A4A42"/>
    <w:rsid w:val="005C33B1"/>
    <w:rsid w:val="005D7729"/>
    <w:rsid w:val="0061189F"/>
    <w:rsid w:val="00637B48"/>
    <w:rsid w:val="00657293"/>
    <w:rsid w:val="00661EC2"/>
    <w:rsid w:val="006B0F5E"/>
    <w:rsid w:val="006E0C2C"/>
    <w:rsid w:val="006E519C"/>
    <w:rsid w:val="006F315E"/>
    <w:rsid w:val="006F3F99"/>
    <w:rsid w:val="006F6697"/>
    <w:rsid w:val="007322AE"/>
    <w:rsid w:val="00746F1C"/>
    <w:rsid w:val="007E20E7"/>
    <w:rsid w:val="007F7F63"/>
    <w:rsid w:val="00806299"/>
    <w:rsid w:val="008203BD"/>
    <w:rsid w:val="00934724"/>
    <w:rsid w:val="00951D85"/>
    <w:rsid w:val="009547F7"/>
    <w:rsid w:val="00974C1C"/>
    <w:rsid w:val="009B7398"/>
    <w:rsid w:val="009C50BD"/>
    <w:rsid w:val="009E707A"/>
    <w:rsid w:val="009F2A86"/>
    <w:rsid w:val="00A10E56"/>
    <w:rsid w:val="00A11995"/>
    <w:rsid w:val="00A260EE"/>
    <w:rsid w:val="00A3723E"/>
    <w:rsid w:val="00A85D2D"/>
    <w:rsid w:val="00AA31BF"/>
    <w:rsid w:val="00AE2AA7"/>
    <w:rsid w:val="00AF19AA"/>
    <w:rsid w:val="00B3759F"/>
    <w:rsid w:val="00B5696A"/>
    <w:rsid w:val="00BA502A"/>
    <w:rsid w:val="00BB67BE"/>
    <w:rsid w:val="00BC3951"/>
    <w:rsid w:val="00BD7307"/>
    <w:rsid w:val="00C26D4D"/>
    <w:rsid w:val="00C31244"/>
    <w:rsid w:val="00C3291B"/>
    <w:rsid w:val="00C7020E"/>
    <w:rsid w:val="00C842A7"/>
    <w:rsid w:val="00C94F14"/>
    <w:rsid w:val="00D4646F"/>
    <w:rsid w:val="00D514AE"/>
    <w:rsid w:val="00D55D19"/>
    <w:rsid w:val="00D80359"/>
    <w:rsid w:val="00D91F88"/>
    <w:rsid w:val="00DE1895"/>
    <w:rsid w:val="00E16336"/>
    <w:rsid w:val="00E32E44"/>
    <w:rsid w:val="00E43F19"/>
    <w:rsid w:val="00E54426"/>
    <w:rsid w:val="00EC5EF0"/>
    <w:rsid w:val="00EE7E7C"/>
    <w:rsid w:val="00F02FB9"/>
    <w:rsid w:val="00F152CE"/>
    <w:rsid w:val="00F34BB6"/>
    <w:rsid w:val="00FA688C"/>
    <w:rsid w:val="00FB1E72"/>
    <w:rsid w:val="00FC754E"/>
    <w:rsid w:val="00FE3B0E"/>
    <w:rsid w:val="00FE6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71CF2"/>
  <w15:chartTrackingRefBased/>
  <w15:docId w15:val="{3AC3EB62-0BCD-6F41-9951-F134B992F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61EC2"/>
    <w:pPr>
      <w:widowControl w:val="0"/>
      <w:jc w:val="both"/>
    </w:pPr>
  </w:style>
  <w:style w:type="paragraph" w:styleId="berschrift1">
    <w:name w:val="heading 1"/>
    <w:basedOn w:val="Standard"/>
    <w:next w:val="Standard"/>
    <w:link w:val="berschrift1Zchn"/>
    <w:qFormat/>
    <w:rsid w:val="00661EC2"/>
    <w:pPr>
      <w:keepNext/>
      <w:keepLines/>
      <w:numPr>
        <w:numId w:val="2"/>
      </w:numPr>
      <w:spacing w:before="480" w:after="360"/>
      <w:jc w:val="center"/>
      <w:outlineLvl w:val="0"/>
    </w:pPr>
    <w:rPr>
      <w:rFonts w:eastAsia="SimHei"/>
      <w:bCs/>
      <w:snapToGrid w:val="0"/>
      <w:sz w:val="32"/>
      <w:szCs w:val="44"/>
    </w:rPr>
  </w:style>
  <w:style w:type="paragraph" w:styleId="berschrift2">
    <w:name w:val="heading 2"/>
    <w:basedOn w:val="berschrift1"/>
    <w:next w:val="Standard"/>
    <w:link w:val="berschrift2Zchn"/>
    <w:qFormat/>
    <w:rsid w:val="00661EC2"/>
    <w:pPr>
      <w:numPr>
        <w:ilvl w:val="1"/>
      </w:numPr>
      <w:spacing w:before="360" w:after="240"/>
      <w:jc w:val="both"/>
      <w:outlineLvl w:val="1"/>
    </w:pPr>
    <w:rPr>
      <w:rFonts w:ascii="SimHei"/>
      <w:sz w:val="28"/>
      <w:szCs w:val="28"/>
    </w:rPr>
  </w:style>
  <w:style w:type="paragraph" w:styleId="berschrift3">
    <w:name w:val="heading 3"/>
    <w:basedOn w:val="berschrift2"/>
    <w:next w:val="Standard"/>
    <w:link w:val="berschrift3Zchn"/>
    <w:qFormat/>
    <w:rsid w:val="00661EC2"/>
    <w:pPr>
      <w:numPr>
        <w:ilvl w:val="0"/>
        <w:numId w:val="0"/>
      </w:numPr>
      <w:spacing w:before="120" w:after="120"/>
      <w:jc w:val="left"/>
      <w:outlineLvl w:val="2"/>
    </w:pPr>
    <w:rPr>
      <w:rFonts w:asci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WPSOffice1">
    <w:name w:val="WPSOffice手动目录 1"/>
    <w:qFormat/>
    <w:rsid w:val="00661EC2"/>
    <w:rPr>
      <w:lang w:val="en-US"/>
    </w:rPr>
  </w:style>
  <w:style w:type="paragraph" w:customStyle="1" w:styleId="WPSOffice2">
    <w:name w:val="WPSOffice手动目录 2"/>
    <w:qFormat/>
    <w:rsid w:val="00661EC2"/>
    <w:pPr>
      <w:ind w:leftChars="200" w:left="200"/>
    </w:pPr>
    <w:rPr>
      <w:lang w:val="en-US"/>
    </w:rPr>
  </w:style>
  <w:style w:type="paragraph" w:customStyle="1" w:styleId="WPSOffice3">
    <w:name w:val="WPSOffice手动目录 3"/>
    <w:qFormat/>
    <w:rsid w:val="00661EC2"/>
    <w:pPr>
      <w:ind w:leftChars="400" w:left="400"/>
    </w:pPr>
    <w:rPr>
      <w:lang w:val="en-US"/>
    </w:rPr>
  </w:style>
  <w:style w:type="character" w:customStyle="1" w:styleId="berschrift1Zchn">
    <w:name w:val="Überschrift 1 Zchn"/>
    <w:basedOn w:val="Absatz-Standardschriftart"/>
    <w:link w:val="berschrift1"/>
    <w:rsid w:val="00661EC2"/>
    <w:rPr>
      <w:rFonts w:asciiTheme="minorHAnsi" w:eastAsia="SimHei" w:hAnsiTheme="minorHAnsi" w:cstheme="minorBidi"/>
      <w:bCs/>
      <w:snapToGrid w:val="0"/>
      <w:sz w:val="32"/>
      <w:szCs w:val="44"/>
      <w:lang w:val="en-US"/>
    </w:rPr>
  </w:style>
  <w:style w:type="character" w:customStyle="1" w:styleId="berschrift2Zchn">
    <w:name w:val="Überschrift 2 Zchn"/>
    <w:basedOn w:val="Absatz-Standardschriftart"/>
    <w:link w:val="berschrift2"/>
    <w:rsid w:val="00661EC2"/>
    <w:rPr>
      <w:rFonts w:ascii="SimHei" w:eastAsia="SimHei" w:hAnsiTheme="minorHAnsi" w:cstheme="minorBidi"/>
      <w:bCs/>
      <w:snapToGrid w:val="0"/>
      <w:sz w:val="28"/>
      <w:szCs w:val="28"/>
      <w:lang w:val="en-US"/>
    </w:rPr>
  </w:style>
  <w:style w:type="character" w:customStyle="1" w:styleId="berschrift3Zchn">
    <w:name w:val="Überschrift 3 Zchn"/>
    <w:basedOn w:val="Absatz-Standardschriftart"/>
    <w:link w:val="berschrift3"/>
    <w:rsid w:val="00661EC2"/>
    <w:rPr>
      <w:rFonts w:eastAsia="SimHei" w:hAnsiTheme="minorHAnsi" w:cstheme="minorBidi"/>
      <w:bCs/>
      <w:snapToGrid w:val="0"/>
      <w:sz w:val="24"/>
      <w:szCs w:val="24"/>
      <w:lang w:val="en-US"/>
    </w:rPr>
  </w:style>
  <w:style w:type="paragraph" w:styleId="Verzeichnis1">
    <w:name w:val="toc 1"/>
    <w:basedOn w:val="Standard"/>
    <w:next w:val="Standard"/>
    <w:qFormat/>
    <w:rsid w:val="00661EC2"/>
  </w:style>
  <w:style w:type="paragraph" w:styleId="Verzeichnis2">
    <w:name w:val="toc 2"/>
    <w:basedOn w:val="Standard"/>
    <w:next w:val="Standard"/>
    <w:qFormat/>
    <w:rsid w:val="00661EC2"/>
    <w:pPr>
      <w:ind w:leftChars="200" w:left="420"/>
    </w:pPr>
  </w:style>
  <w:style w:type="paragraph" w:styleId="Verzeichnis3">
    <w:name w:val="toc 3"/>
    <w:basedOn w:val="Standard"/>
    <w:next w:val="Standard"/>
    <w:qFormat/>
    <w:rsid w:val="00661EC2"/>
    <w:pPr>
      <w:ind w:leftChars="400" w:left="840"/>
    </w:pPr>
  </w:style>
  <w:style w:type="paragraph" w:styleId="Funotentext">
    <w:name w:val="footnote text"/>
    <w:basedOn w:val="Standard"/>
    <w:link w:val="FunotentextZchn"/>
    <w:qFormat/>
    <w:rsid w:val="00661EC2"/>
    <w:pPr>
      <w:snapToGrid w:val="0"/>
      <w:jc w:val="left"/>
    </w:pPr>
    <w:rPr>
      <w:sz w:val="18"/>
    </w:rPr>
  </w:style>
  <w:style w:type="character" w:customStyle="1" w:styleId="FunotentextZchn">
    <w:name w:val="Fußnotentext Zchn"/>
    <w:basedOn w:val="Absatz-Standardschriftart"/>
    <w:link w:val="Funotentext"/>
    <w:rsid w:val="00661EC2"/>
    <w:rPr>
      <w:rFonts w:asciiTheme="minorHAnsi" w:eastAsiaTheme="minorEastAsia" w:hAnsiTheme="minorHAnsi" w:cstheme="minorBidi"/>
      <w:kern w:val="2"/>
      <w:sz w:val="18"/>
      <w:szCs w:val="24"/>
      <w:lang w:val="en-US"/>
    </w:rPr>
  </w:style>
  <w:style w:type="paragraph" w:styleId="Kopfzeile">
    <w:name w:val="header"/>
    <w:basedOn w:val="Standard"/>
    <w:link w:val="KopfzeileZchn"/>
    <w:qFormat/>
    <w:rsid w:val="00661EC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KopfzeileZchn">
    <w:name w:val="Kopfzeile Zchn"/>
    <w:basedOn w:val="Absatz-Standardschriftart"/>
    <w:link w:val="Kopfzeile"/>
    <w:rsid w:val="00661EC2"/>
    <w:rPr>
      <w:rFonts w:asciiTheme="minorHAnsi" w:eastAsiaTheme="minorEastAsia" w:hAnsiTheme="minorHAnsi" w:cstheme="minorBidi"/>
      <w:kern w:val="2"/>
      <w:sz w:val="18"/>
      <w:szCs w:val="24"/>
      <w:lang w:val="en-US"/>
    </w:rPr>
  </w:style>
  <w:style w:type="paragraph" w:styleId="Fuzeile">
    <w:name w:val="footer"/>
    <w:basedOn w:val="Standard"/>
    <w:link w:val="FuzeileZchn"/>
    <w:qFormat/>
    <w:rsid w:val="00661EC2"/>
    <w:pPr>
      <w:tabs>
        <w:tab w:val="center" w:pos="4153"/>
        <w:tab w:val="right" w:pos="8306"/>
      </w:tabs>
      <w:snapToGrid w:val="0"/>
      <w:jc w:val="left"/>
    </w:pPr>
    <w:rPr>
      <w:sz w:val="18"/>
    </w:rPr>
  </w:style>
  <w:style w:type="character" w:customStyle="1" w:styleId="FuzeileZchn">
    <w:name w:val="Fußzeile Zchn"/>
    <w:basedOn w:val="Absatz-Standardschriftart"/>
    <w:link w:val="Fuzeile"/>
    <w:rsid w:val="00661EC2"/>
    <w:rPr>
      <w:rFonts w:asciiTheme="minorHAnsi" w:eastAsiaTheme="minorEastAsia" w:hAnsiTheme="minorHAnsi" w:cstheme="minorBidi"/>
      <w:kern w:val="2"/>
      <w:sz w:val="18"/>
      <w:szCs w:val="24"/>
      <w:lang w:val="en-US"/>
    </w:rPr>
  </w:style>
  <w:style w:type="character" w:styleId="Funotenzeichen">
    <w:name w:val="footnote reference"/>
    <w:basedOn w:val="Absatz-Standardschriftart"/>
    <w:qFormat/>
    <w:rsid w:val="00661EC2"/>
    <w:rPr>
      <w:vertAlign w:val="superscript"/>
    </w:rPr>
  </w:style>
  <w:style w:type="paragraph" w:styleId="Endnotentext">
    <w:name w:val="endnote text"/>
    <w:basedOn w:val="Standard"/>
    <w:link w:val="EndnotentextZchn"/>
    <w:uiPriority w:val="99"/>
    <w:semiHidden/>
    <w:unhideWhenUsed/>
    <w:rsid w:val="00BA502A"/>
    <w:pPr>
      <w:snapToGrid w:val="0"/>
      <w:jc w:val="left"/>
    </w:pPr>
  </w:style>
  <w:style w:type="character" w:customStyle="1" w:styleId="EndnotentextZchn">
    <w:name w:val="Endnotentext Zchn"/>
    <w:basedOn w:val="Absatz-Standardschriftart"/>
    <w:link w:val="Endnotentext"/>
    <w:uiPriority w:val="99"/>
    <w:semiHidden/>
    <w:rsid w:val="00BA502A"/>
  </w:style>
  <w:style w:type="character" w:styleId="Endnotenzeichen">
    <w:name w:val="endnote reference"/>
    <w:basedOn w:val="Absatz-Standardschriftart"/>
    <w:uiPriority w:val="99"/>
    <w:semiHidden/>
    <w:unhideWhenUsed/>
    <w:rsid w:val="00BA502A"/>
    <w:rPr>
      <w:vertAlign w:val="superscript"/>
    </w:rPr>
  </w:style>
  <w:style w:type="character" w:styleId="Zeilennummer">
    <w:name w:val="line number"/>
    <w:basedOn w:val="Absatz-Standardschriftart"/>
    <w:uiPriority w:val="99"/>
    <w:semiHidden/>
    <w:unhideWhenUsed/>
    <w:rsid w:val="006E0C2C"/>
  </w:style>
  <w:style w:type="table" w:styleId="Tabellenraster">
    <w:name w:val="Table Grid"/>
    <w:basedOn w:val="NormaleTabelle"/>
    <w:uiPriority w:val="39"/>
    <w:rsid w:val="00B5696A"/>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A384C-4280-7C47-B0E9-03F8BFB7F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801</Words>
  <Characters>5052</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Sheng Jian</dc:creator>
  <cp:keywords/>
  <dc:description/>
  <cp:lastModifiedBy>Frederic Liu</cp:lastModifiedBy>
  <cp:revision>7</cp:revision>
  <dcterms:created xsi:type="dcterms:W3CDTF">2022-05-18T07:29:00Z</dcterms:created>
  <dcterms:modified xsi:type="dcterms:W3CDTF">2022-05-27T09:49:00Z</dcterms:modified>
</cp:coreProperties>
</file>