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4231F" w14:textId="77777777" w:rsidR="007820FE" w:rsidRPr="0038005C" w:rsidRDefault="007820FE" w:rsidP="007820FE">
      <w:pPr>
        <w:spacing w:before="120" w:after="120"/>
        <w:jc w:val="center"/>
        <w:rPr>
          <w:b/>
          <w:bCs/>
          <w:sz w:val="32"/>
          <w:szCs w:val="32"/>
        </w:rPr>
      </w:pPr>
      <w:r w:rsidRPr="004C4A58">
        <w:rPr>
          <w:rFonts w:ascii="Times New Roman" w:hAnsi="Times New Roman"/>
          <w:b/>
          <w:bCs/>
          <w:sz w:val="32"/>
          <w:szCs w:val="32"/>
        </w:rPr>
        <w:t>gift/</w:t>
      </w:r>
      <w:r w:rsidRPr="00246D6E">
        <w:rPr>
          <w:rFonts w:ascii="Songti TC" w:eastAsia="Songti TC" w:hAnsi="Songti TC" w:hint="eastAsia"/>
          <w:b/>
          <w:bCs/>
          <w:sz w:val="32"/>
          <w:szCs w:val="32"/>
        </w:rPr>
        <w:t>礼物</w:t>
      </w:r>
      <w:r w:rsidRPr="004C4A58">
        <w:rPr>
          <w:rFonts w:ascii="Times New Roman" w:eastAsia="Microsoft YaHei" w:hAnsi="Times New Roman"/>
          <w:b/>
          <w:bCs/>
          <w:sz w:val="32"/>
          <w:szCs w:val="32"/>
        </w:rPr>
        <w:t>(</w:t>
      </w:r>
      <w:proofErr w:type="spellStart"/>
      <w:r w:rsidRPr="004C4A58">
        <w:rPr>
          <w:rFonts w:ascii="Times New Roman" w:eastAsia="Microsoft YaHei" w:hAnsi="Times New Roman"/>
          <w:b/>
          <w:bCs/>
          <w:sz w:val="32"/>
          <w:szCs w:val="32"/>
        </w:rPr>
        <w:t>Lǐ</w:t>
      </w:r>
      <w:proofErr w:type="spellEnd"/>
      <w:r w:rsidRPr="004C4A58">
        <w:rPr>
          <w:rFonts w:ascii="Times New Roman" w:eastAsia="Microsoft YaHei" w:hAnsi="Times New Roman"/>
          <w:b/>
          <w:bCs/>
          <w:sz w:val="32"/>
          <w:szCs w:val="32"/>
        </w:rPr>
        <w:t xml:space="preserve"> </w:t>
      </w:r>
      <w:proofErr w:type="spellStart"/>
      <w:r w:rsidRPr="004C4A58">
        <w:rPr>
          <w:rFonts w:ascii="Times New Roman" w:eastAsia="Microsoft YaHei" w:hAnsi="Times New Roman"/>
          <w:b/>
          <w:bCs/>
          <w:sz w:val="32"/>
          <w:szCs w:val="32"/>
        </w:rPr>
        <w:t>Wù</w:t>
      </w:r>
      <w:proofErr w:type="spellEnd"/>
      <w:r w:rsidRPr="004C4A58">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2811"/>
        <w:gridCol w:w="2759"/>
        <w:gridCol w:w="2736"/>
      </w:tblGrid>
      <w:tr w:rsidR="007820FE" w14:paraId="34E37E92" w14:textId="77777777" w:rsidTr="00953DE2">
        <w:trPr>
          <w:trHeight w:val="347"/>
          <w:jc w:val="center"/>
        </w:trPr>
        <w:tc>
          <w:tcPr>
            <w:tcW w:w="3020" w:type="dxa"/>
            <w:shd w:val="clear" w:color="auto" w:fill="auto"/>
          </w:tcPr>
          <w:p w14:paraId="18E437C0" w14:textId="77777777" w:rsidR="007820FE" w:rsidRPr="0001578A" w:rsidRDefault="007820FE" w:rsidP="00953DE2">
            <w:pPr>
              <w:jc w:val="center"/>
              <w:rPr>
                <w:rFonts w:ascii="Times New Roman" w:eastAsia="DengXian" w:hAnsi="Times New Roman"/>
                <w:sz w:val="24"/>
                <w:szCs w:val="24"/>
              </w:rPr>
            </w:pPr>
            <w:bookmarkStart w:id="0" w:name="OLE_LINK7"/>
            <w:bookmarkStart w:id="1" w:name="OLE_LINK8"/>
            <w:bookmarkStart w:id="2" w:name="OLE_LINK9"/>
            <w:bookmarkStart w:id="3" w:name="OLE_LINK10"/>
            <w:bookmarkStart w:id="4" w:name="OLE_LINK15"/>
            <w:r w:rsidRPr="0001578A">
              <w:rPr>
                <w:rFonts w:ascii="Times New Roman" w:eastAsia="DengXian" w:hAnsi="Times New Roman"/>
                <w:sz w:val="24"/>
                <w:szCs w:val="24"/>
              </w:rPr>
              <w:t>Chinese Perspective</w:t>
            </w:r>
          </w:p>
        </w:tc>
        <w:tc>
          <w:tcPr>
            <w:tcW w:w="3021" w:type="dxa"/>
            <w:shd w:val="clear" w:color="auto" w:fill="auto"/>
          </w:tcPr>
          <w:p w14:paraId="063B9247" w14:textId="77777777" w:rsidR="007820FE" w:rsidRPr="0001578A" w:rsidRDefault="007820FE" w:rsidP="00953DE2">
            <w:pPr>
              <w:jc w:val="center"/>
              <w:rPr>
                <w:rFonts w:ascii="Times New Roman" w:eastAsia="DengXian" w:hAnsi="Times New Roman"/>
                <w:sz w:val="24"/>
                <w:szCs w:val="24"/>
              </w:rPr>
            </w:pPr>
            <w:r w:rsidRPr="0001578A">
              <w:rPr>
                <w:rFonts w:ascii="Times New Roman" w:eastAsia="DengXian" w:hAnsi="Times New Roman"/>
                <w:sz w:val="24"/>
                <w:szCs w:val="24"/>
              </w:rPr>
              <w:t xml:space="preserve">YANG </w:t>
            </w:r>
            <w:proofErr w:type="spellStart"/>
            <w:r w:rsidRPr="0001578A">
              <w:rPr>
                <w:rFonts w:ascii="Times New Roman" w:eastAsia="DengXian" w:hAnsi="Times New Roman"/>
                <w:sz w:val="24"/>
                <w:szCs w:val="24"/>
              </w:rPr>
              <w:t>Huilin</w:t>
            </w:r>
            <w:proofErr w:type="spellEnd"/>
          </w:p>
        </w:tc>
        <w:tc>
          <w:tcPr>
            <w:tcW w:w="3021" w:type="dxa"/>
            <w:shd w:val="clear" w:color="auto" w:fill="auto"/>
          </w:tcPr>
          <w:p w14:paraId="366752E2" w14:textId="5C85CC8C" w:rsidR="007820FE" w:rsidRPr="0001578A" w:rsidRDefault="007820FE" w:rsidP="00953DE2">
            <w:pPr>
              <w:jc w:val="center"/>
              <w:rPr>
                <w:rFonts w:ascii="Times New Roman" w:eastAsia="DengXian" w:hAnsi="Times New Roman"/>
                <w:sz w:val="24"/>
                <w:szCs w:val="24"/>
              </w:rPr>
            </w:pPr>
            <w:r>
              <w:rPr>
                <w:rFonts w:ascii="Times New Roman" w:eastAsia="DengXian" w:hAnsi="Times New Roman"/>
                <w:sz w:val="24"/>
                <w:szCs w:val="24"/>
              </w:rPr>
              <w:t>30 May</w:t>
            </w:r>
            <w:r w:rsidRPr="0001578A">
              <w:rPr>
                <w:rFonts w:ascii="Times New Roman" w:eastAsia="DengXian" w:hAnsi="Times New Roman"/>
                <w:sz w:val="24"/>
                <w:szCs w:val="24"/>
              </w:rPr>
              <w:t xml:space="preserve"> 2022</w:t>
            </w:r>
          </w:p>
        </w:tc>
      </w:tr>
    </w:tbl>
    <w:p w14:paraId="34F62FC0" w14:textId="1DAAA5C1" w:rsidR="008B1189" w:rsidRPr="007820FE" w:rsidRDefault="008B1189" w:rsidP="007820FE">
      <w:pPr>
        <w:spacing w:before="120" w:after="120"/>
        <w:rPr>
          <w:rFonts w:ascii="Times New Roman" w:eastAsia="Songti TC" w:hAnsi="Times New Roman"/>
          <w:sz w:val="24"/>
          <w:szCs w:val="24"/>
        </w:rPr>
      </w:pPr>
      <w:bookmarkStart w:id="5" w:name="_Hlk101038458"/>
      <w:bookmarkEnd w:id="0"/>
      <w:bookmarkEnd w:id="1"/>
      <w:bookmarkEnd w:id="2"/>
      <w:bookmarkEnd w:id="3"/>
      <w:bookmarkEnd w:id="4"/>
      <w:r w:rsidRPr="007820FE">
        <w:rPr>
          <w:rFonts w:ascii="Times New Roman" w:eastAsia="Songti TC" w:hAnsi="Times New Roman"/>
          <w:sz w:val="24"/>
          <w:szCs w:val="24"/>
        </w:rPr>
        <w:t xml:space="preserve">The Chinese have used two characters to translate “gift / present” – </w:t>
      </w:r>
      <w:r w:rsidRPr="007820FE">
        <w:rPr>
          <w:rFonts w:ascii="Times New Roman" w:eastAsia="Songti TC" w:hAnsi="Times New Roman"/>
          <w:i/>
          <w:iCs/>
          <w:sz w:val="24"/>
          <w:szCs w:val="24"/>
        </w:rPr>
        <w:t>li</w:t>
      </w:r>
      <w:r w:rsidRPr="007820FE">
        <w:rPr>
          <w:rFonts w:ascii="Times New Roman" w:eastAsia="Songti TC" w:hAnsi="Times New Roman"/>
          <w:sz w:val="24"/>
          <w:szCs w:val="24"/>
        </w:rPr>
        <w:t>礼</w:t>
      </w:r>
      <w:r w:rsidRPr="007820FE">
        <w:rPr>
          <w:rFonts w:ascii="Times New Roman" w:eastAsia="Songti TC" w:hAnsi="Times New Roman"/>
          <w:sz w:val="24"/>
          <w:szCs w:val="24"/>
        </w:rPr>
        <w:t xml:space="preserve">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物</w:t>
      </w:r>
      <w:r w:rsidRPr="007820FE">
        <w:rPr>
          <w:rFonts w:ascii="Times New Roman" w:eastAsia="Songti TC" w:hAnsi="Times New Roman"/>
          <w:sz w:val="24"/>
          <w:szCs w:val="24"/>
        </w:rPr>
        <w:t xml:space="preserve">. </w:t>
      </w:r>
      <w:r w:rsidRPr="007820FE">
        <w:rPr>
          <w:rFonts w:ascii="Times New Roman" w:eastAsia="Songti TC" w:hAnsi="Times New Roman"/>
          <w:i/>
          <w:iCs/>
          <w:sz w:val="24"/>
          <w:szCs w:val="24"/>
        </w:rPr>
        <w:t>Li</w:t>
      </w:r>
      <w:r w:rsidRPr="007820FE">
        <w:rPr>
          <w:rFonts w:ascii="Times New Roman" w:eastAsia="Songti TC" w:hAnsi="Times New Roman"/>
          <w:sz w:val="24"/>
          <w:szCs w:val="24"/>
        </w:rPr>
        <w:t>礼</w:t>
      </w:r>
      <w:r w:rsidRPr="007820FE">
        <w:rPr>
          <w:rFonts w:ascii="Times New Roman" w:eastAsia="Songti TC" w:hAnsi="Times New Roman"/>
          <w:sz w:val="24"/>
          <w:szCs w:val="24"/>
        </w:rPr>
        <w:t xml:space="preserve"> was written initially as </w:t>
      </w:r>
      <w:r w:rsidRPr="007820FE">
        <w:rPr>
          <w:rFonts w:ascii="Times New Roman" w:eastAsia="Songti TC" w:hAnsi="Times New Roman"/>
          <w:sz w:val="24"/>
          <w:szCs w:val="24"/>
        </w:rPr>
        <w:t>禮</w:t>
      </w:r>
      <w:r w:rsidRPr="007820FE">
        <w:rPr>
          <w:rFonts w:ascii="Times New Roman" w:eastAsia="Songti TC" w:hAnsi="Times New Roman"/>
          <w:sz w:val="24"/>
          <w:szCs w:val="24"/>
        </w:rPr>
        <w:t>, the left part of which (</w:t>
      </w:r>
      <w:r w:rsidRPr="007820FE">
        <w:rPr>
          <w:rFonts w:ascii="Times New Roman" w:eastAsia="Songti TC" w:hAnsi="Times New Roman"/>
          <w:sz w:val="24"/>
          <w:szCs w:val="24"/>
        </w:rPr>
        <w:t>示</w:t>
      </w:r>
      <w:r w:rsidRPr="007820FE">
        <w:rPr>
          <w:rFonts w:ascii="Times New Roman" w:eastAsia="Songti TC" w:hAnsi="Times New Roman"/>
          <w:sz w:val="24"/>
          <w:szCs w:val="24"/>
        </w:rPr>
        <w:t>) is the same as with</w:t>
      </w:r>
      <w:r w:rsidRPr="007820FE">
        <w:rPr>
          <w:rFonts w:ascii="Times New Roman" w:eastAsia="Songti TC" w:hAnsi="Times New Roman"/>
          <w:color w:val="333333"/>
          <w:sz w:val="24"/>
          <w:szCs w:val="24"/>
          <w:shd w:val="clear" w:color="auto" w:fill="FFFFFF"/>
        </w:rPr>
        <w:t>祇</w:t>
      </w:r>
      <w:r w:rsidRPr="007820FE">
        <w:rPr>
          <w:rFonts w:ascii="Times New Roman" w:eastAsia="Songti TC" w:hAnsi="Times New Roman"/>
          <w:color w:val="333333"/>
          <w:sz w:val="24"/>
          <w:szCs w:val="24"/>
          <w:shd w:val="clear" w:color="auto" w:fill="FFFFFF"/>
        </w:rPr>
        <w:t xml:space="preserve"> (god of the earth), </w:t>
      </w:r>
      <w:r w:rsidRPr="007820FE">
        <w:rPr>
          <w:rFonts w:ascii="Times New Roman" w:eastAsia="Songti TC" w:hAnsi="Times New Roman"/>
          <w:sz w:val="24"/>
          <w:szCs w:val="24"/>
        </w:rPr>
        <w:t>and its right part</w:t>
      </w:r>
      <w:r w:rsidRPr="007820FE">
        <w:rPr>
          <w:rFonts w:ascii="Times New Roman" w:eastAsia="Songti TC" w:hAnsi="Times New Roman"/>
          <w:sz w:val="24"/>
          <w:szCs w:val="24"/>
        </w:rPr>
        <w:t>豊</w:t>
      </w:r>
      <w:r w:rsidRPr="007820FE">
        <w:rPr>
          <w:rFonts w:ascii="Times New Roman" w:eastAsia="Songti TC" w:hAnsi="Times New Roman"/>
          <w:sz w:val="24"/>
          <w:szCs w:val="24"/>
        </w:rPr>
        <w:t xml:space="preserve"> takes the shape of a vessel for sacrifice. Therefore, the original meaning of </w:t>
      </w:r>
      <w:r w:rsidRPr="007820FE">
        <w:rPr>
          <w:rFonts w:ascii="Times New Roman" w:eastAsia="Songti TC" w:hAnsi="Times New Roman"/>
          <w:sz w:val="24"/>
          <w:szCs w:val="24"/>
        </w:rPr>
        <w:t>禮</w:t>
      </w:r>
      <w:r w:rsidRPr="007820FE">
        <w:rPr>
          <w:rFonts w:ascii="Times New Roman" w:eastAsia="Songti TC" w:hAnsi="Times New Roman"/>
          <w:sz w:val="24"/>
          <w:szCs w:val="24"/>
        </w:rPr>
        <w:t xml:space="preserve"> is the "ritual of sacrifice to obtain blessings from gods" (</w:t>
      </w:r>
      <w:proofErr w:type="spellStart"/>
      <w:r w:rsidRPr="007820FE">
        <w:rPr>
          <w:rFonts w:ascii="Times New Roman" w:eastAsia="Songti TC" w:hAnsi="Times New Roman"/>
          <w:i/>
          <w:sz w:val="24"/>
          <w:szCs w:val="24"/>
        </w:rPr>
        <w:t>Shuowen</w:t>
      </w:r>
      <w:proofErr w:type="spellEnd"/>
      <w:r w:rsidRPr="007820FE">
        <w:rPr>
          <w:rFonts w:ascii="Times New Roman" w:eastAsia="Songti TC" w:hAnsi="Times New Roman"/>
          <w:i/>
          <w:sz w:val="24"/>
          <w:szCs w:val="24"/>
        </w:rPr>
        <w:t xml:space="preserve"> </w:t>
      </w:r>
      <w:proofErr w:type="spellStart"/>
      <w:r w:rsidRPr="007820FE">
        <w:rPr>
          <w:rFonts w:ascii="Times New Roman" w:eastAsia="Songti TC" w:hAnsi="Times New Roman"/>
          <w:i/>
          <w:sz w:val="24"/>
          <w:szCs w:val="24"/>
        </w:rPr>
        <w:t>Jiezi</w:t>
      </w:r>
      <w:proofErr w:type="spellEnd"/>
      <w:r w:rsidRPr="007820FE">
        <w:rPr>
          <w:rFonts w:ascii="Times New Roman" w:eastAsia="Songti TC" w:hAnsi="Times New Roman"/>
          <w:sz w:val="24"/>
          <w:szCs w:val="24"/>
        </w:rPr>
        <w:t xml:space="preserve">). Wang </w:t>
      </w:r>
      <w:proofErr w:type="spellStart"/>
      <w:r w:rsidRPr="007820FE">
        <w:rPr>
          <w:rFonts w:ascii="Times New Roman" w:eastAsia="Songti TC" w:hAnsi="Times New Roman"/>
          <w:sz w:val="24"/>
          <w:szCs w:val="24"/>
        </w:rPr>
        <w:t>Guowei</w:t>
      </w:r>
      <w:proofErr w:type="spellEnd"/>
      <w:r w:rsidRPr="007820FE">
        <w:rPr>
          <w:rFonts w:ascii="Times New Roman" w:eastAsia="Songti TC" w:hAnsi="Times New Roman"/>
          <w:sz w:val="24"/>
          <w:szCs w:val="24"/>
        </w:rPr>
        <w:t>, in his article "Interpretation of Rites," offered a glyphic analysis, in which he seemed to have put the sacrificial ritual of “revering Heaven” adjacent to the service of “honoring ancestors”: "Since</w:t>
      </w:r>
      <w:r w:rsidRPr="007820FE">
        <w:rPr>
          <w:rFonts w:ascii="Times New Roman" w:eastAsia="Songti TC" w:hAnsi="Times New Roman"/>
          <w:sz w:val="24"/>
          <w:szCs w:val="24"/>
        </w:rPr>
        <w:t>豊</w:t>
      </w:r>
      <w:r w:rsidRPr="007820FE">
        <w:rPr>
          <w:rFonts w:ascii="Times New Roman" w:eastAsia="Songti TC" w:hAnsi="Times New Roman"/>
          <w:sz w:val="24"/>
          <w:szCs w:val="24"/>
        </w:rPr>
        <w:t xml:space="preserve"> is a vessel containing sacrificial jade offered to gods and ancestors, the sacrificial wine used in the services is thus called </w:t>
      </w:r>
      <w:r w:rsidRPr="007820FE">
        <w:rPr>
          <w:rFonts w:ascii="Times New Roman" w:eastAsia="Songti TC" w:hAnsi="Times New Roman"/>
          <w:sz w:val="24"/>
          <w:szCs w:val="24"/>
        </w:rPr>
        <w:t>醴</w:t>
      </w:r>
      <w:r w:rsidRPr="007820FE">
        <w:rPr>
          <w:rFonts w:ascii="Times New Roman" w:eastAsia="Songti TC" w:hAnsi="Times New Roman"/>
          <w:sz w:val="24"/>
          <w:szCs w:val="24"/>
        </w:rPr>
        <w:t xml:space="preserve">, and therefore, we can further infer that anything related to the sacrificial services to gods and ancestors can be generally called </w:t>
      </w:r>
      <w:r w:rsidRPr="007820FE">
        <w:rPr>
          <w:rFonts w:ascii="Times New Roman" w:eastAsia="Songti TC" w:hAnsi="Times New Roman"/>
          <w:sz w:val="24"/>
          <w:szCs w:val="24"/>
        </w:rPr>
        <w:t>禮</w:t>
      </w:r>
      <w:r w:rsidRPr="007820FE">
        <w:rPr>
          <w:rFonts w:ascii="Times New Roman" w:eastAsia="Songti TC" w:hAnsi="Times New Roman"/>
          <w:sz w:val="24"/>
          <w:szCs w:val="24"/>
        </w:rPr>
        <w:t>." The three characters (</w:t>
      </w:r>
      <w:r w:rsidRPr="007820FE">
        <w:rPr>
          <w:rFonts w:ascii="Times New Roman" w:eastAsia="Songti TC" w:hAnsi="Times New Roman"/>
          <w:sz w:val="24"/>
          <w:szCs w:val="24"/>
        </w:rPr>
        <w:t>豊</w:t>
      </w:r>
      <w:r w:rsidRPr="007820FE">
        <w:rPr>
          <w:rFonts w:ascii="Times New Roman" w:eastAsia="Songti TC" w:hAnsi="Times New Roman"/>
          <w:sz w:val="24"/>
          <w:szCs w:val="24"/>
        </w:rPr>
        <w:t>-</w:t>
      </w:r>
      <w:r w:rsidRPr="007820FE">
        <w:rPr>
          <w:rFonts w:ascii="Times New Roman" w:eastAsia="Songti TC" w:hAnsi="Times New Roman"/>
          <w:sz w:val="24"/>
          <w:szCs w:val="24"/>
        </w:rPr>
        <w:t>醴</w:t>
      </w:r>
      <w:r w:rsidRPr="007820FE">
        <w:rPr>
          <w:rFonts w:ascii="Times New Roman" w:eastAsia="Songti TC" w:hAnsi="Times New Roman"/>
          <w:sz w:val="24"/>
          <w:szCs w:val="24"/>
        </w:rPr>
        <w:t>-</w:t>
      </w:r>
      <w:r w:rsidRPr="007820FE">
        <w:rPr>
          <w:rFonts w:ascii="Times New Roman" w:eastAsia="Songti TC" w:hAnsi="Times New Roman"/>
          <w:sz w:val="24"/>
          <w:szCs w:val="24"/>
        </w:rPr>
        <w:t>禮</w:t>
      </w:r>
      <w:r w:rsidRPr="007820FE">
        <w:rPr>
          <w:rFonts w:ascii="Times New Roman" w:eastAsia="Songti TC" w:hAnsi="Times New Roman"/>
          <w:sz w:val="24"/>
          <w:szCs w:val="24"/>
        </w:rPr>
        <w:t>) share the same pronunciation and are originally related to the sacrifice of gods, however, after such inferring, the meaning has shifted to a “generalized’ earthly ritual.</w:t>
      </w:r>
    </w:p>
    <w:bookmarkEnd w:id="5"/>
    <w:p w14:paraId="0A64C45D" w14:textId="77777777"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The meaning of </w:t>
      </w:r>
      <w:r w:rsidRPr="007820FE">
        <w:rPr>
          <w:rFonts w:ascii="Times New Roman" w:eastAsia="Songti TC" w:hAnsi="Times New Roman"/>
          <w:i/>
          <w:iCs/>
          <w:sz w:val="24"/>
          <w:szCs w:val="24"/>
        </w:rPr>
        <w:t>li</w:t>
      </w:r>
      <w:r w:rsidRPr="007820FE">
        <w:rPr>
          <w:rFonts w:ascii="Times New Roman" w:eastAsia="Songti TC" w:hAnsi="Times New Roman"/>
          <w:sz w:val="24"/>
          <w:szCs w:val="24"/>
        </w:rPr>
        <w:t>礼</w:t>
      </w:r>
      <w:r w:rsidRPr="007820FE">
        <w:rPr>
          <w:rFonts w:ascii="Times New Roman" w:eastAsia="Songti TC" w:hAnsi="Times New Roman"/>
          <w:sz w:val="24"/>
          <w:szCs w:val="24"/>
        </w:rPr>
        <w:t>has been further inferred or extended in Confucian classics. For example, Confucius advocates that the way of governance is to "Guide people with virtues and regulate their behavior with ritual." He believes that the "ritual" accompanied by "virtue" not only keeps people obeying the law but also enables people to exercise self-restraint, namely, "to know shame and to behave in a proper manner" (</w:t>
      </w:r>
      <w:r w:rsidRPr="007820FE">
        <w:rPr>
          <w:rFonts w:ascii="Times New Roman" w:eastAsia="Songti TC" w:hAnsi="Times New Roman"/>
          <w:i/>
          <w:sz w:val="24"/>
          <w:szCs w:val="24"/>
        </w:rPr>
        <w:t>Analects</w:t>
      </w:r>
      <w:r w:rsidRPr="007820FE">
        <w:rPr>
          <w:rFonts w:ascii="Times New Roman" w:eastAsia="Songti TC" w:hAnsi="Times New Roman"/>
          <w:sz w:val="24"/>
          <w:szCs w:val="24"/>
        </w:rPr>
        <w:t>). As a result, there are three classics related to rituals among the "Thirteen Confucian Classics" (</w:t>
      </w:r>
      <w:r w:rsidRPr="007820FE">
        <w:rPr>
          <w:rFonts w:ascii="Times New Roman" w:eastAsia="Songti TC" w:hAnsi="Times New Roman"/>
          <w:i/>
          <w:iCs/>
          <w:sz w:val="24"/>
          <w:szCs w:val="24"/>
        </w:rPr>
        <w:t>Zhou Li</w:t>
      </w:r>
      <w:r w:rsidRPr="007820FE">
        <w:rPr>
          <w:rFonts w:ascii="Times New Roman" w:eastAsia="Songti TC" w:hAnsi="Times New Roman"/>
          <w:sz w:val="24"/>
          <w:szCs w:val="24"/>
        </w:rPr>
        <w:t xml:space="preserve">, </w:t>
      </w:r>
      <w:r w:rsidRPr="007820FE">
        <w:rPr>
          <w:rFonts w:ascii="Times New Roman" w:eastAsia="Songti TC" w:hAnsi="Times New Roman"/>
          <w:i/>
          <w:iCs/>
          <w:sz w:val="24"/>
          <w:szCs w:val="24"/>
        </w:rPr>
        <w:t>Yi Li</w:t>
      </w:r>
      <w:r w:rsidRPr="007820FE">
        <w:rPr>
          <w:rFonts w:ascii="Times New Roman" w:eastAsia="Songti TC" w:hAnsi="Times New Roman"/>
          <w:sz w:val="24"/>
          <w:szCs w:val="24"/>
        </w:rPr>
        <w:t xml:space="preserve">, and </w:t>
      </w:r>
      <w:r w:rsidRPr="007820FE">
        <w:rPr>
          <w:rFonts w:ascii="Times New Roman" w:eastAsia="Songti TC" w:hAnsi="Times New Roman"/>
          <w:i/>
          <w:iCs/>
          <w:sz w:val="24"/>
          <w:szCs w:val="24"/>
        </w:rPr>
        <w:t>Li Ji</w:t>
      </w:r>
      <w:r w:rsidRPr="007820FE">
        <w:rPr>
          <w:rFonts w:ascii="Times New Roman" w:eastAsia="Songti TC" w:hAnsi="Times New Roman"/>
          <w:sz w:val="24"/>
          <w:szCs w:val="24"/>
        </w:rPr>
        <w:t>). The question "Where does ritual originate?" no longer only concerns sacrifice but has become an exploration of human nature.</w:t>
      </w:r>
    </w:p>
    <w:p w14:paraId="32353219" w14:textId="77777777"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Following this light, we find a typical dialectical analysis of </w:t>
      </w:r>
      <w:r w:rsidRPr="007820FE">
        <w:rPr>
          <w:rFonts w:ascii="Times New Roman" w:eastAsia="Songti TC" w:hAnsi="Times New Roman"/>
          <w:i/>
          <w:iCs/>
          <w:sz w:val="24"/>
          <w:szCs w:val="24"/>
        </w:rPr>
        <w:t>li</w:t>
      </w:r>
      <w:r w:rsidRPr="007820FE">
        <w:rPr>
          <w:rFonts w:ascii="Times New Roman" w:eastAsia="Songti TC" w:hAnsi="Times New Roman"/>
          <w:sz w:val="24"/>
          <w:szCs w:val="24"/>
        </w:rPr>
        <w:t>礼</w:t>
      </w:r>
      <w:r w:rsidRPr="007820FE">
        <w:rPr>
          <w:rFonts w:ascii="Times New Roman" w:eastAsia="Songti TC" w:hAnsi="Times New Roman"/>
          <w:sz w:val="24"/>
          <w:szCs w:val="24"/>
        </w:rPr>
        <w:t>and</w:t>
      </w:r>
      <w:r w:rsidRPr="007820FE">
        <w:rPr>
          <w:rFonts w:ascii="Times New Roman" w:eastAsia="Songti TC" w:hAnsi="Times New Roman"/>
          <w:i/>
          <w:iCs/>
          <w:sz w:val="24"/>
          <w:szCs w:val="24"/>
        </w:rPr>
        <w:t xml:space="preserve">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物</w:t>
      </w:r>
      <w:r w:rsidRPr="007820FE">
        <w:rPr>
          <w:rFonts w:ascii="Times New Roman" w:eastAsia="Songti TC" w:hAnsi="Times New Roman"/>
          <w:sz w:val="24"/>
          <w:szCs w:val="24"/>
        </w:rPr>
        <w:t xml:space="preserve">in Xunzi's "On Rituals": "Men are born with desires which, if not satisfied, cannot but lead men to seek to satisfy them. If in seeking to satisfy their desires, men observe no measure and apportion things without limits, then it would be impossible for them not to contend over the means to satisfy their desires. </w:t>
      </w:r>
      <w:proofErr w:type="gramStart"/>
      <w:r w:rsidRPr="007820FE">
        <w:rPr>
          <w:rFonts w:ascii="Times New Roman" w:eastAsia="Songti TC" w:hAnsi="Times New Roman"/>
          <w:sz w:val="24"/>
          <w:szCs w:val="24"/>
        </w:rPr>
        <w:t>So</w:t>
      </w:r>
      <w:proofErr w:type="gramEnd"/>
      <w:r w:rsidRPr="007820FE">
        <w:rPr>
          <w:rFonts w:ascii="Times New Roman" w:eastAsia="Songti TC" w:hAnsi="Times New Roman"/>
          <w:sz w:val="24"/>
          <w:szCs w:val="24"/>
        </w:rPr>
        <w:t xml:space="preserve"> contention leads to disorder. Disorder leads to poverty. The Ancient Kings abhorred such disorder; </w:t>
      </w:r>
      <w:proofErr w:type="gramStart"/>
      <w:r w:rsidRPr="007820FE">
        <w:rPr>
          <w:rFonts w:ascii="Times New Roman" w:eastAsia="Songti TC" w:hAnsi="Times New Roman"/>
          <w:sz w:val="24"/>
          <w:szCs w:val="24"/>
        </w:rPr>
        <w:t>so</w:t>
      </w:r>
      <w:proofErr w:type="gramEnd"/>
      <w:r w:rsidRPr="007820FE">
        <w:rPr>
          <w:rFonts w:ascii="Times New Roman" w:eastAsia="Songti TC" w:hAnsi="Times New Roman"/>
          <w:sz w:val="24"/>
          <w:szCs w:val="24"/>
        </w:rPr>
        <w:t xml:space="preserve"> they established the regulations contained within ritual and moral principles in order to apportion things." For Xunzi, the specific mean for this purpose is to "nurture the desires of men, and to </w:t>
      </w:r>
      <w:r w:rsidRPr="007820FE">
        <w:rPr>
          <w:rFonts w:ascii="Times New Roman" w:eastAsia="Songti TC" w:hAnsi="Times New Roman"/>
          <w:sz w:val="24"/>
          <w:szCs w:val="24"/>
        </w:rPr>
        <w:lastRenderedPageBreak/>
        <w:t>supply the means for their satisfaction" so that they can "sustain each other." In simple words, to desire is natural, and rituals are not to "extinguish human desire" but to help balance one’s desire and needs.</w:t>
      </w:r>
    </w:p>
    <w:p w14:paraId="1DBCF96C" w14:textId="359909CB" w:rsidR="008B1189" w:rsidRPr="007820FE" w:rsidRDefault="008B1189" w:rsidP="007820FE">
      <w:pPr>
        <w:tabs>
          <w:tab w:val="left" w:pos="1315"/>
        </w:tabs>
        <w:spacing w:before="120" w:after="120"/>
        <w:rPr>
          <w:rFonts w:ascii="Times New Roman" w:eastAsia="Songti TC" w:hAnsi="Times New Roman"/>
          <w:sz w:val="24"/>
          <w:szCs w:val="24"/>
        </w:rPr>
      </w:pPr>
      <w:r w:rsidRPr="007820FE">
        <w:rPr>
          <w:rFonts w:ascii="Times New Roman" w:eastAsia="Songti TC" w:hAnsi="Times New Roman"/>
          <w:sz w:val="24"/>
          <w:szCs w:val="24"/>
        </w:rPr>
        <w:t>According to Xunzi, the core of "ritual" is to make sure that "desires should not want for the things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物</w:t>
      </w:r>
      <w:r w:rsidRPr="007820FE">
        <w:rPr>
          <w:rFonts w:ascii="Times New Roman" w:eastAsia="Songti TC" w:hAnsi="Times New Roman"/>
          <w:sz w:val="24"/>
          <w:szCs w:val="24"/>
        </w:rPr>
        <w:t>] which satisfy them, and goods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物</w:t>
      </w:r>
      <w:r w:rsidRPr="007820FE">
        <w:rPr>
          <w:rFonts w:ascii="Times New Roman" w:eastAsia="Songti TC" w:hAnsi="Times New Roman"/>
          <w:sz w:val="24"/>
          <w:szCs w:val="24"/>
        </w:rPr>
        <w:t>] would not be exhausted by the desires."</w:t>
      </w:r>
      <w:r w:rsidRPr="007820FE">
        <w:rPr>
          <w:rStyle w:val="Funotenzeichen"/>
          <w:rFonts w:ascii="Times New Roman" w:eastAsia="Songti TC" w:hAnsi="Times New Roman"/>
          <w:sz w:val="24"/>
          <w:szCs w:val="24"/>
        </w:rPr>
        <w:footnoteReference w:id="1"/>
      </w:r>
      <w:r w:rsidRPr="007820FE">
        <w:rPr>
          <w:rFonts w:ascii="Times New Roman" w:eastAsia="Songti TC" w:hAnsi="Times New Roman"/>
          <w:sz w:val="24"/>
          <w:szCs w:val="24"/>
        </w:rPr>
        <w:t xml:space="preserve"> Thus "things/goods"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物</w:t>
      </w:r>
      <w:r w:rsidRPr="007820FE">
        <w:rPr>
          <w:rFonts w:ascii="Times New Roman" w:eastAsia="Songti TC" w:hAnsi="Times New Roman"/>
          <w:sz w:val="24"/>
          <w:szCs w:val="24"/>
        </w:rPr>
        <w:t>) becomes the maintenance of "rituals" (</w:t>
      </w:r>
      <w:r w:rsidRPr="007820FE">
        <w:rPr>
          <w:rFonts w:ascii="Times New Roman" w:eastAsia="Songti TC" w:hAnsi="Times New Roman"/>
          <w:i/>
          <w:iCs/>
          <w:sz w:val="24"/>
          <w:szCs w:val="24"/>
        </w:rPr>
        <w:t>li</w:t>
      </w:r>
      <w:r w:rsidRPr="007820FE">
        <w:rPr>
          <w:rFonts w:ascii="Times New Roman" w:eastAsia="Songti TC" w:hAnsi="Times New Roman"/>
          <w:sz w:val="24"/>
          <w:szCs w:val="24"/>
        </w:rPr>
        <w:t>礼</w:t>
      </w:r>
      <w:r w:rsidRPr="007820FE">
        <w:rPr>
          <w:rFonts w:ascii="Times New Roman" w:eastAsia="Songti TC" w:hAnsi="Times New Roman"/>
          <w:sz w:val="24"/>
          <w:szCs w:val="24"/>
        </w:rPr>
        <w:t>). The use of the two words "ritual" and "things" as a phrase appeared in the second century in an article written by Pan Xu</w:t>
      </w:r>
      <w:r w:rsidRPr="007820FE">
        <w:rPr>
          <w:rFonts w:ascii="Times New Roman" w:eastAsia="Songti TC" w:hAnsi="Times New Roman"/>
          <w:sz w:val="24"/>
          <w:szCs w:val="24"/>
        </w:rPr>
        <w:t>潘勖</w:t>
      </w:r>
      <w:r w:rsidRPr="007820FE">
        <w:rPr>
          <w:rFonts w:ascii="Times New Roman" w:eastAsia="Songti TC" w:hAnsi="Times New Roman"/>
          <w:sz w:val="24"/>
          <w:szCs w:val="24"/>
        </w:rPr>
        <w:t xml:space="preserve"> (? – 215)</w:t>
      </w:r>
      <w:r w:rsidRPr="007820FE">
        <w:rPr>
          <w:rStyle w:val="Funotenzeichen"/>
          <w:rFonts w:ascii="Times New Roman" w:eastAsia="Songti TC" w:hAnsi="Times New Roman"/>
          <w:sz w:val="24"/>
          <w:szCs w:val="24"/>
        </w:rPr>
        <w:footnoteReference w:id="2"/>
      </w:r>
      <w:r w:rsidRPr="007820FE">
        <w:rPr>
          <w:rFonts w:ascii="Times New Roman" w:eastAsia="Songti TC" w:hAnsi="Times New Roman"/>
          <w:sz w:val="24"/>
          <w:szCs w:val="24"/>
        </w:rPr>
        <w:t xml:space="preserve">, but the phrase at that time still referred to "ceremony/ritual" and "sacrificial goods," different from the so-called "gift" in later times. In the Eastern </w:t>
      </w:r>
      <w:proofErr w:type="spellStart"/>
      <w:r w:rsidRPr="007820FE">
        <w:rPr>
          <w:rFonts w:ascii="Times New Roman" w:eastAsia="Songti TC" w:hAnsi="Times New Roman"/>
          <w:sz w:val="24"/>
          <w:szCs w:val="24"/>
        </w:rPr>
        <w:t>Jin</w:t>
      </w:r>
      <w:proofErr w:type="spellEnd"/>
      <w:r w:rsidRPr="007820FE">
        <w:rPr>
          <w:rFonts w:ascii="Times New Roman" w:eastAsia="Songti TC" w:hAnsi="Times New Roman"/>
          <w:sz w:val="24"/>
          <w:szCs w:val="24"/>
        </w:rPr>
        <w:t xml:space="preserve"> Dynasty (317-420), we can find the term “</w:t>
      </w:r>
      <w:proofErr w:type="spellStart"/>
      <w:r w:rsidRPr="007820FE">
        <w:rPr>
          <w:rFonts w:ascii="Times New Roman" w:eastAsia="Songti TC" w:hAnsi="Times New Roman"/>
          <w:i/>
          <w:iCs/>
          <w:sz w:val="24"/>
          <w:szCs w:val="24"/>
        </w:rPr>
        <w:t>wei</w:t>
      </w:r>
      <w:proofErr w:type="spellEnd"/>
      <w:r w:rsidRPr="007820FE">
        <w:rPr>
          <w:rFonts w:ascii="Times New Roman" w:eastAsia="Songti TC" w:hAnsi="Times New Roman"/>
          <w:i/>
          <w:iCs/>
          <w:sz w:val="24"/>
          <w:szCs w:val="24"/>
        </w:rPr>
        <w:t xml:space="preserve"> li</w:t>
      </w:r>
      <w:r w:rsidRPr="007820FE">
        <w:rPr>
          <w:rFonts w:ascii="Times New Roman" w:eastAsia="Songti TC" w:hAnsi="Times New Roman"/>
          <w:sz w:val="24"/>
          <w:szCs w:val="24"/>
        </w:rPr>
        <w:t>微礼</w:t>
      </w:r>
      <w:r w:rsidRPr="007820FE">
        <w:rPr>
          <w:rFonts w:ascii="Times New Roman" w:eastAsia="Songti TC" w:hAnsi="Times New Roman"/>
          <w:sz w:val="24"/>
          <w:szCs w:val="24"/>
        </w:rPr>
        <w:t>” (a small gift) in a story about Minister Lu Na</w:t>
      </w:r>
      <w:r w:rsidRPr="007820FE">
        <w:rPr>
          <w:rFonts w:ascii="Times New Roman" w:eastAsia="Songti TC" w:hAnsi="Times New Roman"/>
          <w:sz w:val="24"/>
          <w:szCs w:val="24"/>
        </w:rPr>
        <w:t>陆纳</w:t>
      </w:r>
      <w:r w:rsidRPr="007820FE">
        <w:rPr>
          <w:rFonts w:ascii="Times New Roman" w:eastAsia="Songti TC" w:hAnsi="Times New Roman"/>
          <w:sz w:val="24"/>
          <w:szCs w:val="24"/>
        </w:rPr>
        <w:t xml:space="preserve"> and General Huan Wen</w:t>
      </w:r>
      <w:r w:rsidRPr="007820FE">
        <w:rPr>
          <w:rFonts w:ascii="Times New Roman" w:eastAsia="Songti TC" w:hAnsi="Times New Roman"/>
          <w:sz w:val="24"/>
          <w:szCs w:val="24"/>
        </w:rPr>
        <w:t>桓温</w:t>
      </w:r>
      <w:r w:rsidRPr="007820FE">
        <w:rPr>
          <w:rFonts w:ascii="Times New Roman" w:eastAsia="Songti TC" w:hAnsi="Times New Roman"/>
          <w:sz w:val="24"/>
          <w:szCs w:val="24"/>
        </w:rPr>
        <w:t>. The gift included “a bucket of wine and a plate of venison", closely related to “goods.”</w:t>
      </w:r>
      <w:r w:rsidRPr="007820FE">
        <w:rPr>
          <w:rStyle w:val="Funotenzeichen"/>
          <w:rFonts w:ascii="Times New Roman" w:eastAsia="Songti TC" w:hAnsi="Times New Roman"/>
          <w:sz w:val="24"/>
          <w:szCs w:val="24"/>
        </w:rPr>
        <w:footnoteReference w:id="3"/>
      </w:r>
      <w:r w:rsidRPr="007820FE">
        <w:rPr>
          <w:rFonts w:ascii="Times New Roman" w:eastAsia="Songti TC" w:hAnsi="Times New Roman"/>
          <w:sz w:val="24"/>
          <w:szCs w:val="24"/>
        </w:rPr>
        <w:t xml:space="preserve"> In sum, in Chinese tradition, there has been a shift of meaning from “ritual” to “goods” in the Chinese term “gift”. “Ritual” is reflected in the “goods/ gift.” Along with the gradual combination and mutual interpretation of "ritual" and "goods", the Chinese have varied expressions of “offering gifts”</w:t>
      </w:r>
      <w:r w:rsidR="007820FE" w:rsidRPr="007820FE">
        <w:rPr>
          <w:rFonts w:ascii="Times New Roman" w:eastAsia="Songti TC" w:hAnsi="Times New Roman"/>
          <w:sz w:val="24"/>
          <w:szCs w:val="24"/>
        </w:rPr>
        <w:t>.</w:t>
      </w:r>
    </w:p>
    <w:p w14:paraId="75B96079" w14:textId="77777777"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As to the translation in modern Chinese, the everyday usage of </w:t>
      </w:r>
      <w:proofErr w:type="spellStart"/>
      <w:r w:rsidRPr="007820FE">
        <w:rPr>
          <w:rFonts w:ascii="Times New Roman" w:eastAsia="Songti TC" w:hAnsi="Times New Roman"/>
          <w:i/>
          <w:iCs/>
          <w:sz w:val="24"/>
          <w:szCs w:val="24"/>
        </w:rPr>
        <w:t>liwu</w:t>
      </w:r>
      <w:proofErr w:type="spellEnd"/>
      <w:r w:rsidRPr="007820FE">
        <w:rPr>
          <w:rFonts w:ascii="Times New Roman" w:eastAsia="Songti TC" w:hAnsi="Times New Roman"/>
          <w:sz w:val="24"/>
          <w:szCs w:val="24"/>
        </w:rPr>
        <w:t>礼物</w:t>
      </w:r>
      <w:r w:rsidRPr="007820FE">
        <w:rPr>
          <w:rFonts w:ascii="Times New Roman" w:eastAsia="Songti TC" w:hAnsi="Times New Roman"/>
          <w:sz w:val="24"/>
          <w:szCs w:val="24"/>
        </w:rPr>
        <w:t xml:space="preserve"> (gift) does not necessarily reflect the ancient “ritual,” so “gift” or “present” is a natural translation. However, with the continuous translation and introduction of continental philosophy, we keep finding the differences in the semantics of the corresponding words, and even the "literal" Chinese translation of “gift," “present," and “given" is almost unable to convey their "spirit" (</w:t>
      </w:r>
      <w:proofErr w:type="gramStart"/>
      <w:r w:rsidRPr="007820FE">
        <w:rPr>
          <w:rFonts w:ascii="Times New Roman" w:eastAsia="Songti TC" w:hAnsi="Times New Roman"/>
          <w:sz w:val="24"/>
          <w:szCs w:val="24"/>
        </w:rPr>
        <w:t>particular connotation</w:t>
      </w:r>
      <w:proofErr w:type="gramEnd"/>
      <w:r w:rsidRPr="007820FE">
        <w:rPr>
          <w:rFonts w:ascii="Times New Roman" w:eastAsia="Songti TC" w:hAnsi="Times New Roman"/>
          <w:sz w:val="24"/>
          <w:szCs w:val="24"/>
        </w:rPr>
        <w:t>). Taking this as a philosophical problem left to us by language, we may find the argument of the subject-predicate proposition, the philosophical implication of "gift" or “</w:t>
      </w:r>
      <w:r w:rsidRPr="007820FE">
        <w:rPr>
          <w:rFonts w:ascii="Times New Roman" w:eastAsia="Songti TC" w:hAnsi="Times New Roman"/>
          <w:i/>
          <w:sz w:val="24"/>
          <w:szCs w:val="24"/>
        </w:rPr>
        <w:t>doner</w:t>
      </w:r>
      <w:r w:rsidRPr="007820FE">
        <w:rPr>
          <w:rFonts w:ascii="Times New Roman" w:eastAsia="Songti TC" w:hAnsi="Times New Roman"/>
          <w:sz w:val="24"/>
          <w:szCs w:val="24"/>
        </w:rPr>
        <w:t>,” and the semantic puns of “present” and "time" are the best examples to illustrate this problem.</w:t>
      </w:r>
    </w:p>
    <w:p w14:paraId="4437A9C0" w14:textId="2ED7E34D" w:rsidR="008B1189" w:rsidRPr="007820FE" w:rsidRDefault="008B1189" w:rsidP="007820FE">
      <w:pPr>
        <w:tabs>
          <w:tab w:val="center" w:pos="4393"/>
        </w:tabs>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In </w:t>
      </w:r>
      <w:r w:rsidRPr="007820FE">
        <w:rPr>
          <w:rFonts w:ascii="Times New Roman" w:eastAsia="Songti TC" w:hAnsi="Times New Roman"/>
          <w:i/>
          <w:sz w:val="24"/>
          <w:szCs w:val="24"/>
        </w:rPr>
        <w:t>Routledge History of Philosophy</w:t>
      </w:r>
      <w:r w:rsidRPr="007820FE">
        <w:rPr>
          <w:rFonts w:ascii="Times New Roman" w:eastAsia="Songti TC" w:hAnsi="Times New Roman"/>
          <w:sz w:val="24"/>
          <w:szCs w:val="24"/>
        </w:rPr>
        <w:t>, the contrast between English and Chinese is extremely interesting. For instance, in Volume II, it reads: “Plotinus accepts Aristotle's view that being and unity are coextensive: to be is to be one thing, to be unified, and the more 'one' something is, the more of a being it is.”</w:t>
      </w:r>
      <w:r w:rsidRPr="007820FE">
        <w:rPr>
          <w:rStyle w:val="Funotenzeichen"/>
          <w:rFonts w:ascii="Times New Roman" w:eastAsia="Songti TC" w:hAnsi="Times New Roman"/>
          <w:sz w:val="24"/>
          <w:szCs w:val="24"/>
        </w:rPr>
        <w:footnoteReference w:id="4"/>
      </w:r>
      <w:r w:rsidRPr="007820FE">
        <w:rPr>
          <w:rFonts w:ascii="Times New Roman" w:eastAsia="Songti TC" w:hAnsi="Times New Roman"/>
          <w:sz w:val="24"/>
          <w:szCs w:val="24"/>
        </w:rPr>
        <w:t xml:space="preserve"> The Chinese translators put “</w:t>
      </w:r>
      <w:r w:rsidRPr="007820FE">
        <w:rPr>
          <w:rFonts w:ascii="Times New Roman" w:eastAsia="Songti TC" w:hAnsi="Times New Roman"/>
          <w:sz w:val="24"/>
          <w:szCs w:val="24"/>
        </w:rPr>
        <w:t>是</w:t>
      </w:r>
      <w:r w:rsidRPr="007820FE">
        <w:rPr>
          <w:rFonts w:ascii="Times New Roman" w:eastAsia="Songti TC" w:hAnsi="Times New Roman"/>
          <w:sz w:val="24"/>
          <w:szCs w:val="24"/>
        </w:rPr>
        <w:lastRenderedPageBreak/>
        <w:t>者</w:t>
      </w:r>
      <w:r w:rsidRPr="007820FE">
        <w:rPr>
          <w:rFonts w:ascii="Times New Roman" w:eastAsia="Songti TC" w:hAnsi="Times New Roman"/>
          <w:sz w:val="24"/>
          <w:szCs w:val="24"/>
        </w:rPr>
        <w:t>” (what it is) in parentheses after “being” and “</w:t>
      </w:r>
      <w:r w:rsidRPr="007820FE">
        <w:rPr>
          <w:rFonts w:ascii="Times New Roman" w:eastAsia="Songti TC" w:hAnsi="Times New Roman"/>
          <w:sz w:val="24"/>
          <w:szCs w:val="24"/>
        </w:rPr>
        <w:t>一</w:t>
      </w:r>
      <w:r w:rsidRPr="007820FE">
        <w:rPr>
          <w:rFonts w:ascii="Times New Roman" w:eastAsia="Songti TC" w:hAnsi="Times New Roman"/>
          <w:sz w:val="24"/>
          <w:szCs w:val="24"/>
        </w:rPr>
        <w:t>” (one) after “unified.”</w:t>
      </w:r>
      <w:r w:rsidRPr="007820FE">
        <w:rPr>
          <w:rStyle w:val="Funotenzeichen"/>
          <w:rFonts w:ascii="Times New Roman" w:eastAsia="Songti TC" w:hAnsi="Times New Roman"/>
          <w:sz w:val="24"/>
          <w:szCs w:val="24"/>
        </w:rPr>
        <w:footnoteReference w:id="5"/>
      </w:r>
      <w:r w:rsidRPr="007820FE">
        <w:rPr>
          <w:rFonts w:ascii="Times New Roman" w:eastAsia="Songti TC" w:hAnsi="Times New Roman"/>
          <w:sz w:val="24"/>
          <w:szCs w:val="24"/>
        </w:rPr>
        <w:t xml:space="preserve"> It is, however, still hard to understand the Chinese translation of “the more ‘one’ something is, the more of a being it is.” How can “something” be “one”? Why the more one is the more a being it is? How can we express in Chinese the “being” as a verb and the “being” in “a being it is”?</w:t>
      </w:r>
    </w:p>
    <w:p w14:paraId="641E747E" w14:textId="333AADAE"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British sinologist Angus Charles Graham offered a clue to these questions when he compared the different metaphysical grammar of the European languages and that of Chinese. In his view, there is a grammatical difference between the two: for one, it is the “Being” or “subject-predicate proposition” originated from Indo-European languages, and for the other, it is “</w:t>
      </w:r>
      <w:proofErr w:type="spellStart"/>
      <w:r w:rsidRPr="007820FE">
        <w:rPr>
          <w:rFonts w:ascii="Times New Roman" w:eastAsia="Songti TC" w:hAnsi="Times New Roman"/>
          <w:i/>
          <w:iCs/>
          <w:sz w:val="24"/>
          <w:szCs w:val="24"/>
        </w:rPr>
        <w:t>shi</w:t>
      </w:r>
      <w:proofErr w:type="spellEnd"/>
      <w:r w:rsidRPr="007820FE">
        <w:rPr>
          <w:rFonts w:ascii="Times New Roman" w:eastAsia="Songti TC" w:hAnsi="Times New Roman"/>
          <w:i/>
          <w:iCs/>
          <w:sz w:val="24"/>
          <w:szCs w:val="24"/>
        </w:rPr>
        <w:t xml:space="preserve"> </w:t>
      </w:r>
      <w:proofErr w:type="spellStart"/>
      <w:r w:rsidRPr="007820FE">
        <w:rPr>
          <w:rFonts w:ascii="Times New Roman" w:eastAsia="Songti TC" w:hAnsi="Times New Roman"/>
          <w:i/>
          <w:iCs/>
          <w:sz w:val="24"/>
          <w:szCs w:val="24"/>
        </w:rPr>
        <w:t>fei</w:t>
      </w:r>
      <w:proofErr w:type="spellEnd"/>
      <w:r w:rsidRPr="007820FE">
        <w:rPr>
          <w:rFonts w:ascii="Times New Roman" w:eastAsia="Songti TC" w:hAnsi="Times New Roman"/>
          <w:sz w:val="24"/>
          <w:szCs w:val="24"/>
        </w:rPr>
        <w:t>是非</w:t>
      </w:r>
      <w:r w:rsidRPr="007820FE">
        <w:rPr>
          <w:rFonts w:ascii="Times New Roman" w:eastAsia="Songti TC" w:hAnsi="Times New Roman"/>
          <w:sz w:val="24"/>
          <w:szCs w:val="24"/>
        </w:rPr>
        <w:t>” (being/non-being) and “</w:t>
      </w:r>
      <w:r w:rsidRPr="007820FE">
        <w:rPr>
          <w:rFonts w:ascii="Times New Roman" w:eastAsia="Songti TC" w:hAnsi="Times New Roman"/>
          <w:i/>
          <w:iCs/>
          <w:sz w:val="24"/>
          <w:szCs w:val="24"/>
        </w:rPr>
        <w:t xml:space="preserve">you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有无</w:t>
      </w:r>
      <w:r w:rsidRPr="007820FE">
        <w:rPr>
          <w:rFonts w:ascii="Times New Roman" w:eastAsia="Songti TC" w:hAnsi="Times New Roman"/>
          <w:sz w:val="24"/>
          <w:szCs w:val="24"/>
        </w:rPr>
        <w:t xml:space="preserve">”(have/ have not) of ancient Chinese.  He even cites a passage in Lan </w:t>
      </w:r>
      <w:proofErr w:type="spellStart"/>
      <w:r w:rsidRPr="007820FE">
        <w:rPr>
          <w:rFonts w:ascii="Times New Roman" w:eastAsia="Songti TC" w:hAnsi="Times New Roman"/>
          <w:sz w:val="24"/>
          <w:szCs w:val="24"/>
        </w:rPr>
        <w:t>Gongwu's</w:t>
      </w:r>
      <w:proofErr w:type="spellEnd"/>
      <w:r w:rsidRPr="007820FE">
        <w:rPr>
          <w:rFonts w:ascii="Times New Roman" w:eastAsia="Songti TC" w:hAnsi="Times New Roman"/>
          <w:sz w:val="24"/>
          <w:szCs w:val="24"/>
        </w:rPr>
        <w:t xml:space="preserve"> translation of Immanuel Kant’s </w:t>
      </w:r>
      <w:r w:rsidRPr="007820FE">
        <w:rPr>
          <w:rFonts w:ascii="Times New Roman" w:eastAsia="Songti TC" w:hAnsi="Times New Roman"/>
          <w:i/>
          <w:sz w:val="24"/>
          <w:szCs w:val="24"/>
        </w:rPr>
        <w:t>Critique of Pure Reason</w:t>
      </w:r>
      <w:r w:rsidRPr="007820FE">
        <w:rPr>
          <w:rFonts w:ascii="Times New Roman" w:eastAsia="Songti TC" w:hAnsi="Times New Roman"/>
          <w:sz w:val="24"/>
          <w:szCs w:val="24"/>
        </w:rPr>
        <w:t xml:space="preserve"> to explain the problem. Lan’s translation was based on an English translation, but the linguistic challenges are similar.</w:t>
      </w:r>
      <w:r w:rsidRPr="007820FE">
        <w:rPr>
          <w:rStyle w:val="Funotenzeichen"/>
          <w:rFonts w:ascii="Times New Roman" w:eastAsia="Songti TC" w:hAnsi="Times New Roman"/>
          <w:sz w:val="24"/>
          <w:szCs w:val="24"/>
        </w:rPr>
        <w:footnoteReference w:id="6"/>
      </w:r>
    </w:p>
    <w:p w14:paraId="7F67F63D" w14:textId="77777777" w:rsidR="008B1189" w:rsidRPr="007820FE" w:rsidRDefault="008B1189" w:rsidP="007820FE">
      <w:pPr>
        <w:spacing w:before="120" w:after="120"/>
        <w:rPr>
          <w:rFonts w:ascii="Times New Roman" w:eastAsia="Songti TC" w:hAnsi="Times New Roman"/>
          <w:sz w:val="24"/>
          <w:szCs w:val="24"/>
        </w:rPr>
      </w:pPr>
      <w:proofErr w:type="gramStart"/>
      <w:r w:rsidRPr="007820FE">
        <w:rPr>
          <w:rFonts w:ascii="Times New Roman" w:eastAsia="Songti TC" w:hAnsi="Times New Roman"/>
          <w:sz w:val="24"/>
          <w:szCs w:val="24"/>
        </w:rPr>
        <w:t>In order to</w:t>
      </w:r>
      <w:proofErr w:type="gramEnd"/>
      <w:r w:rsidRPr="007820FE">
        <w:rPr>
          <w:rFonts w:ascii="Times New Roman" w:eastAsia="Songti TC" w:hAnsi="Times New Roman"/>
          <w:sz w:val="24"/>
          <w:szCs w:val="24"/>
        </w:rPr>
        <w:t xml:space="preserve"> explain “Being is obviously not a real predicate… not a concept of something which could be added to the concept of a thing," Kant took "God is omnipotent" as an example to show that "the small word 'is' adds no new predicate."</w:t>
      </w:r>
      <w:r w:rsidRPr="007820FE">
        <w:rPr>
          <w:rStyle w:val="Funotenzeichen"/>
          <w:rFonts w:ascii="Times New Roman" w:eastAsia="Songti TC" w:hAnsi="Times New Roman"/>
          <w:sz w:val="24"/>
          <w:szCs w:val="24"/>
        </w:rPr>
        <w:footnoteReference w:id="7"/>
      </w:r>
      <w:r w:rsidRPr="007820FE">
        <w:rPr>
          <w:rFonts w:ascii="Times New Roman" w:eastAsia="Songti TC" w:hAnsi="Times New Roman"/>
          <w:sz w:val="24"/>
          <w:szCs w:val="24"/>
        </w:rPr>
        <w:t xml:space="preserve"> Nevertheless, since the Chinese does not have the capital word “Being,” the small word “is” does not make any sense. As a result, the Chinese translator used three different characters</w:t>
      </w:r>
      <w:r w:rsidRPr="007820FE">
        <w:rPr>
          <w:rFonts w:ascii="Times New Roman" w:eastAsia="Songti TC" w:hAnsi="Times New Roman"/>
          <w:sz w:val="24"/>
          <w:szCs w:val="24"/>
        </w:rPr>
        <w:t>（为</w:t>
      </w:r>
      <w:r w:rsidRPr="007820FE">
        <w:rPr>
          <w:rFonts w:ascii="Times New Roman" w:eastAsia="Songti TC" w:hAnsi="Times New Roman"/>
          <w:sz w:val="24"/>
          <w:szCs w:val="24"/>
        </w:rPr>
        <w:t>-</w:t>
      </w:r>
      <w:r w:rsidRPr="007820FE">
        <w:rPr>
          <w:rFonts w:ascii="Times New Roman" w:eastAsia="Songti TC" w:hAnsi="Times New Roman"/>
          <w:sz w:val="24"/>
          <w:szCs w:val="24"/>
        </w:rPr>
        <w:t>在</w:t>
      </w:r>
      <w:r w:rsidRPr="007820FE">
        <w:rPr>
          <w:rFonts w:ascii="Times New Roman" w:eastAsia="Songti TC" w:hAnsi="Times New Roman"/>
          <w:sz w:val="24"/>
          <w:szCs w:val="24"/>
        </w:rPr>
        <w:t>-</w:t>
      </w:r>
      <w:r w:rsidRPr="007820FE">
        <w:rPr>
          <w:rFonts w:ascii="Times New Roman" w:eastAsia="Songti TC" w:hAnsi="Times New Roman"/>
          <w:sz w:val="24"/>
          <w:szCs w:val="24"/>
        </w:rPr>
        <w:t>有）</w:t>
      </w:r>
      <w:r w:rsidRPr="007820FE">
        <w:rPr>
          <w:rFonts w:ascii="Times New Roman" w:eastAsia="Songti TC" w:hAnsi="Times New Roman"/>
          <w:sz w:val="24"/>
          <w:szCs w:val="24"/>
        </w:rPr>
        <w:t>to render the German “</w:t>
      </w:r>
      <w:r w:rsidRPr="007820FE">
        <w:rPr>
          <w:rFonts w:ascii="Times New Roman" w:eastAsia="Songti TC" w:hAnsi="Times New Roman"/>
          <w:i/>
          <w:sz w:val="24"/>
          <w:szCs w:val="24"/>
        </w:rPr>
        <w:t>Sein</w:t>
      </w:r>
      <w:r w:rsidRPr="007820FE">
        <w:rPr>
          <w:rFonts w:ascii="Times New Roman" w:eastAsia="Songti TC" w:hAnsi="Times New Roman"/>
          <w:sz w:val="24"/>
          <w:szCs w:val="24"/>
        </w:rPr>
        <w:t>” and the English “Being”.</w:t>
      </w:r>
    </w:p>
    <w:p w14:paraId="0854DEE8" w14:textId="2E8CD854" w:rsidR="008B1189" w:rsidRPr="007820FE" w:rsidRDefault="008B1189" w:rsidP="007820FE">
      <w:pPr>
        <w:widowControl/>
        <w:spacing w:before="120" w:after="120"/>
        <w:rPr>
          <w:rFonts w:ascii="Times New Roman" w:eastAsia="Songti TC" w:hAnsi="Times New Roman"/>
          <w:sz w:val="24"/>
          <w:szCs w:val="24"/>
        </w:rPr>
      </w:pPr>
      <w:r w:rsidRPr="007820FE">
        <w:rPr>
          <w:rFonts w:ascii="Times New Roman" w:eastAsia="Songti TC" w:hAnsi="Times New Roman"/>
          <w:sz w:val="24"/>
          <w:szCs w:val="24"/>
        </w:rPr>
        <w:t>We may understand the problem related to “the small word ‘is’” in Chinese via the clarification by Ernst Tugendhat that "Being ‘is’ only as long as the two parts are joined, creating a relation between two terms where one refers to the other as the predicate and subject."</w:t>
      </w:r>
      <w:r w:rsidRPr="007820FE">
        <w:rPr>
          <w:rStyle w:val="Funotenzeichen"/>
          <w:rFonts w:ascii="Times New Roman" w:eastAsia="Songti TC" w:hAnsi="Times New Roman"/>
          <w:sz w:val="24"/>
          <w:szCs w:val="24"/>
        </w:rPr>
        <w:footnoteReference w:id="8"/>
      </w:r>
      <w:r w:rsidRPr="007820FE">
        <w:rPr>
          <w:rFonts w:ascii="Times New Roman" w:eastAsia="Songti TC" w:hAnsi="Times New Roman"/>
          <w:sz w:val="24"/>
          <w:szCs w:val="24"/>
        </w:rPr>
        <w:t xml:space="preserve"> In other words, it is by duplicating “Being” (the subject) and “is” (the predicate), being as “a being it is” and being as a verb, that the Indo-European based “being” can be understood.</w:t>
      </w:r>
    </w:p>
    <w:p w14:paraId="3AF81A50" w14:textId="1722E5B7"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According to Graham, Chinese translators when using three different Chinese words to translate </w:t>
      </w:r>
      <w:r w:rsidRPr="007820FE">
        <w:rPr>
          <w:rFonts w:ascii="Times New Roman" w:eastAsia="Songti TC" w:hAnsi="Times New Roman"/>
          <w:i/>
          <w:sz w:val="24"/>
          <w:szCs w:val="24"/>
        </w:rPr>
        <w:t>Sein</w:t>
      </w:r>
      <w:r w:rsidRPr="007820FE">
        <w:rPr>
          <w:rFonts w:ascii="Times New Roman" w:eastAsia="Songti TC" w:hAnsi="Times New Roman"/>
          <w:sz w:val="24"/>
          <w:szCs w:val="24"/>
        </w:rPr>
        <w:t xml:space="preserve"> and Being, are in fact “struggling to reproduce Western fallacies in a language which, whatever its defects, does not permit them to make these particular mistakes.” It tells us that “the way we think is affected, not only by the language we speak, but by the grammar we impose on it and by the languages in which the problems </w:t>
      </w:r>
      <w:r w:rsidRPr="007820FE">
        <w:rPr>
          <w:rFonts w:ascii="Times New Roman" w:eastAsia="Songti TC" w:hAnsi="Times New Roman"/>
          <w:sz w:val="24"/>
          <w:szCs w:val="24"/>
        </w:rPr>
        <w:lastRenderedPageBreak/>
        <w:t>were originally stated”</w:t>
      </w:r>
      <w:r w:rsidRPr="007820FE">
        <w:rPr>
          <w:rStyle w:val="Funotenzeichen"/>
          <w:rFonts w:ascii="Times New Roman" w:eastAsia="Songti TC" w:hAnsi="Times New Roman"/>
          <w:sz w:val="24"/>
          <w:szCs w:val="24"/>
        </w:rPr>
        <w:footnoteReference w:id="9"/>
      </w:r>
      <w:r w:rsidR="007820FE" w:rsidRPr="007820FE">
        <w:rPr>
          <w:rFonts w:ascii="Times New Roman" w:eastAsia="Songti TC" w:hAnsi="Times New Roman"/>
          <w:sz w:val="24"/>
          <w:szCs w:val="24"/>
        </w:rPr>
        <w:t>.</w:t>
      </w:r>
    </w:p>
    <w:p w14:paraId="5B74F710" w14:textId="30D36C75" w:rsidR="008B1189" w:rsidRPr="007820FE" w:rsidRDefault="008B1189" w:rsidP="007820FE">
      <w:pPr>
        <w:pStyle w:val="NurText"/>
        <w:tabs>
          <w:tab w:val="left" w:pos="5860"/>
        </w:tabs>
        <w:spacing w:before="120" w:after="120"/>
        <w:contextualSpacing/>
        <w:rPr>
          <w:rFonts w:ascii="Times New Roman" w:eastAsia="Songti TC" w:hAnsi="Times New Roman"/>
          <w:sz w:val="24"/>
          <w:szCs w:val="24"/>
          <w:lang w:val="en-US" w:eastAsia="zh-CN"/>
        </w:rPr>
      </w:pPr>
      <w:r w:rsidRPr="007820FE">
        <w:rPr>
          <w:rFonts w:ascii="Times New Roman" w:eastAsia="Songti TC" w:hAnsi="Times New Roman"/>
          <w:sz w:val="24"/>
          <w:szCs w:val="24"/>
          <w:lang w:val="en-US" w:eastAsia="zh-CN"/>
        </w:rPr>
        <w:t xml:space="preserve">Similarly, </w:t>
      </w:r>
      <w:r w:rsidRPr="007820FE">
        <w:rPr>
          <w:rFonts w:ascii="Times New Roman" w:eastAsia="Songti TC" w:hAnsi="Times New Roman"/>
          <w:sz w:val="24"/>
          <w:szCs w:val="24"/>
        </w:rPr>
        <w:t xml:space="preserve">Heidegger </w:t>
      </w:r>
      <w:proofErr w:type="spellStart"/>
      <w:r w:rsidRPr="007820FE">
        <w:rPr>
          <w:rFonts w:ascii="Times New Roman" w:eastAsia="Songti TC" w:hAnsi="Times New Roman"/>
          <w:sz w:val="24"/>
          <w:szCs w:val="24"/>
        </w:rPr>
        <w:t>announces</w:t>
      </w:r>
      <w:proofErr w:type="spellEnd"/>
      <w:r w:rsidRPr="007820FE" w:rsidDel="00F53061">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his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mediation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oriented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sentence</w:t>
      </w:r>
      <w:proofErr w:type="spellEnd"/>
      <w:r w:rsidRPr="007820FE">
        <w:rPr>
          <w:rFonts w:ascii="Times New Roman" w:eastAsia="Songti TC" w:hAnsi="Times New Roman"/>
          <w:sz w:val="24"/>
          <w:szCs w:val="24"/>
        </w:rPr>
        <w:t xml:space="preserve"> ‘Es gibt Sein, Es gibt Zeit’, </w:t>
      </w:r>
      <w:proofErr w:type="spellStart"/>
      <w:r w:rsidRPr="007820FE">
        <w:rPr>
          <w:rFonts w:ascii="Times New Roman" w:eastAsia="Songti TC" w:hAnsi="Times New Roman"/>
          <w:sz w:val="24"/>
          <w:szCs w:val="24"/>
        </w:rPr>
        <w:t>which</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literally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means</w:t>
      </w:r>
      <w:proofErr w:type="spellEnd"/>
      <w:r w:rsidRPr="007820FE">
        <w:rPr>
          <w:rFonts w:ascii="Times New Roman" w:eastAsia="Songti TC" w:hAnsi="Times New Roman"/>
          <w:sz w:val="24"/>
          <w:szCs w:val="24"/>
        </w:rPr>
        <w:t>: ‘</w:t>
      </w:r>
      <w:proofErr w:type="spellStart"/>
      <w:r w:rsidRPr="007820FE">
        <w:rPr>
          <w:rFonts w:ascii="Times New Roman" w:eastAsia="Songti TC" w:hAnsi="Times New Roman"/>
          <w:sz w:val="24"/>
          <w:szCs w:val="24"/>
        </w:rPr>
        <w:t>It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Being</w:t>
      </w:r>
      <w:proofErr w:type="spellEnd"/>
      <w:r w:rsidRPr="007820FE">
        <w:rPr>
          <w:rFonts w:ascii="Times New Roman" w:eastAsia="Songti TC" w:hAnsi="Times New Roman"/>
          <w:sz w:val="24"/>
          <w:szCs w:val="24"/>
        </w:rPr>
        <w:t xml:space="preserve">, </w:t>
      </w:r>
      <w:proofErr w:type="spellStart"/>
      <w:proofErr w:type="gramStart"/>
      <w:r w:rsidRPr="007820FE">
        <w:rPr>
          <w:rFonts w:ascii="Times New Roman" w:eastAsia="Songti TC" w:hAnsi="Times New Roman"/>
          <w:sz w:val="24"/>
          <w:szCs w:val="24"/>
        </w:rPr>
        <w:t>It</w:t>
      </w:r>
      <w:proofErr w:type="spellEnd"/>
      <w:proofErr w:type="gram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gives</w:t>
      </w:r>
      <w:proofErr w:type="spellEnd"/>
      <w:r w:rsidRPr="007820FE">
        <w:rPr>
          <w:rFonts w:ascii="Times New Roman" w:eastAsia="Songti TC" w:hAnsi="Times New Roman"/>
          <w:sz w:val="24"/>
          <w:szCs w:val="24"/>
        </w:rPr>
        <w:t xml:space="preserve"> time.” </w:t>
      </w:r>
      <w:proofErr w:type="spellStart"/>
      <w:r w:rsidRPr="007820FE">
        <w:rPr>
          <w:rFonts w:ascii="Times New Roman" w:eastAsia="Songti TC" w:hAnsi="Times New Roman"/>
          <w:sz w:val="24"/>
          <w:szCs w:val="24"/>
        </w:rPr>
        <w:t>It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seems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quite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straightforward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for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Western </w:t>
      </w:r>
      <w:proofErr w:type="spellStart"/>
      <w:r w:rsidRPr="007820FE">
        <w:rPr>
          <w:rFonts w:ascii="Times New Roman" w:eastAsia="Songti TC" w:hAnsi="Times New Roman"/>
          <w:sz w:val="24"/>
          <w:szCs w:val="24"/>
        </w:rPr>
        <w:t>scholars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phrase</w:t>
      </w:r>
      <w:proofErr w:type="spellEnd"/>
      <w:r w:rsidRPr="007820FE">
        <w:rPr>
          <w:rFonts w:ascii="Times New Roman" w:eastAsia="Songti TC" w:hAnsi="Times New Roman"/>
          <w:sz w:val="24"/>
          <w:szCs w:val="24"/>
        </w:rPr>
        <w:t xml:space="preserve"> </w:t>
      </w:r>
      <w:r w:rsidRPr="007820FE">
        <w:rPr>
          <w:rFonts w:ascii="Times New Roman" w:eastAsia="Songti TC" w:hAnsi="Times New Roman"/>
          <w:iCs/>
          <w:sz w:val="24"/>
          <w:szCs w:val="24"/>
        </w:rPr>
        <w:t xml:space="preserve">‘Es gibt’ </w:t>
      </w:r>
      <w:proofErr w:type="spellStart"/>
      <w:r w:rsidRPr="007820FE">
        <w:rPr>
          <w:rFonts w:ascii="Times New Roman" w:eastAsia="Songti TC" w:hAnsi="Times New Roman"/>
          <w:sz w:val="24"/>
          <w:szCs w:val="24"/>
        </w:rPr>
        <w:t>invites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audience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hear</w:t>
      </w:r>
      <w:proofErr w:type="spellEnd"/>
      <w:r w:rsidRPr="007820FE">
        <w:rPr>
          <w:rFonts w:ascii="Times New Roman" w:eastAsia="Songti TC" w:hAnsi="Times New Roman"/>
          <w:sz w:val="24"/>
          <w:szCs w:val="24"/>
        </w:rPr>
        <w:t xml:space="preserve"> an </w:t>
      </w:r>
      <w:proofErr w:type="spellStart"/>
      <w:r w:rsidRPr="007820FE">
        <w:rPr>
          <w:rFonts w:ascii="Times New Roman" w:eastAsia="Songti TC" w:hAnsi="Times New Roman"/>
          <w:sz w:val="24"/>
          <w:szCs w:val="24"/>
        </w:rPr>
        <w:t>offering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not </w:t>
      </w:r>
      <w:proofErr w:type="spellStart"/>
      <w:r w:rsidRPr="007820FE">
        <w:rPr>
          <w:rFonts w:ascii="Times New Roman" w:eastAsia="Songti TC" w:hAnsi="Times New Roman"/>
          <w:sz w:val="24"/>
          <w:szCs w:val="24"/>
        </w:rPr>
        <w:t>reducible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offering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Hence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sentence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gives</w:t>
      </w:r>
      <w:proofErr w:type="spellEnd"/>
      <w:r w:rsidRPr="007820FE">
        <w:rPr>
          <w:rFonts w:ascii="Times New Roman" w:eastAsia="Songti TC" w:hAnsi="Times New Roman"/>
          <w:sz w:val="24"/>
          <w:szCs w:val="24"/>
        </w:rPr>
        <w:t xml:space="preserve"> time' </w:t>
      </w:r>
      <w:proofErr w:type="spellStart"/>
      <w:r w:rsidRPr="007820FE">
        <w:rPr>
          <w:rFonts w:ascii="Times New Roman" w:eastAsia="Songti TC" w:hAnsi="Times New Roman"/>
          <w:sz w:val="24"/>
          <w:szCs w:val="24"/>
        </w:rPr>
        <w:t>points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an </w:t>
      </w:r>
      <w:proofErr w:type="spellStart"/>
      <w:r w:rsidRPr="007820FE">
        <w:rPr>
          <w:rFonts w:ascii="Times New Roman" w:eastAsia="Songti TC" w:hAnsi="Times New Roman"/>
          <w:sz w:val="24"/>
          <w:szCs w:val="24"/>
        </w:rPr>
        <w:t>offering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keeps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withdrawing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itself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from</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offered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Already</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word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present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there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more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now</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what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also </w:t>
      </w:r>
      <w:proofErr w:type="spellStart"/>
      <w:r w:rsidRPr="007820FE">
        <w:rPr>
          <w:rFonts w:ascii="Times New Roman" w:eastAsia="Songti TC" w:hAnsi="Times New Roman"/>
          <w:sz w:val="24"/>
          <w:szCs w:val="24"/>
        </w:rPr>
        <w:t>meant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word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a </w:t>
      </w:r>
      <w:proofErr w:type="spellStart"/>
      <w:r w:rsidRPr="007820FE">
        <w:rPr>
          <w:rFonts w:ascii="Times New Roman" w:eastAsia="Songti TC" w:hAnsi="Times New Roman"/>
          <w:sz w:val="24"/>
          <w:szCs w:val="24"/>
        </w:rPr>
        <w:t>gift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bestowed</w:t>
      </w:r>
      <w:proofErr w:type="spellEnd"/>
      <w:r w:rsidRPr="007820FE">
        <w:rPr>
          <w:rFonts w:ascii="Times New Roman" w:eastAsia="Songti TC" w:hAnsi="Times New Roman"/>
          <w:sz w:val="24"/>
          <w:szCs w:val="24"/>
        </w:rPr>
        <w:t xml:space="preserve"> upon man."</w:t>
      </w:r>
      <w:r w:rsidRPr="007820FE">
        <w:rPr>
          <w:rStyle w:val="Funotenzeichen"/>
          <w:rFonts w:ascii="Times New Roman" w:eastAsia="Songti TC" w:hAnsi="Times New Roman"/>
          <w:sz w:val="24"/>
          <w:szCs w:val="24"/>
        </w:rPr>
        <w:t xml:space="preserve"> </w:t>
      </w:r>
      <w:r w:rsidRPr="007820FE">
        <w:rPr>
          <w:rStyle w:val="Funotenzeichen"/>
          <w:rFonts w:ascii="Times New Roman" w:eastAsia="Songti TC" w:hAnsi="Times New Roman"/>
          <w:sz w:val="24"/>
          <w:szCs w:val="24"/>
        </w:rPr>
        <w:footnoteReference w:id="10"/>
      </w:r>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However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for</w:t>
      </w:r>
      <w:proofErr w:type="spellEnd"/>
      <w:r w:rsidRPr="007820FE">
        <w:rPr>
          <w:rFonts w:ascii="Times New Roman" w:eastAsia="Songti TC" w:hAnsi="Times New Roman"/>
          <w:sz w:val="24"/>
          <w:szCs w:val="24"/>
        </w:rPr>
        <w:t xml:space="preserve"> Chinese </w:t>
      </w:r>
      <w:proofErr w:type="spellStart"/>
      <w:r w:rsidRPr="007820FE">
        <w:rPr>
          <w:rFonts w:ascii="Times New Roman" w:eastAsia="Songti TC" w:hAnsi="Times New Roman"/>
          <w:sz w:val="24"/>
          <w:szCs w:val="24"/>
        </w:rPr>
        <w:t>readers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not </w:t>
      </w:r>
      <w:proofErr w:type="spellStart"/>
      <w:r w:rsidRPr="007820FE">
        <w:rPr>
          <w:rFonts w:ascii="Times New Roman" w:eastAsia="Songti TC" w:hAnsi="Times New Roman"/>
          <w:sz w:val="24"/>
          <w:szCs w:val="24"/>
        </w:rPr>
        <w:t>only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necessary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understand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double </w:t>
      </w:r>
      <w:proofErr w:type="spellStart"/>
      <w:r w:rsidRPr="007820FE">
        <w:rPr>
          <w:rFonts w:ascii="Times New Roman" w:eastAsia="Songti TC" w:hAnsi="Times New Roman"/>
          <w:sz w:val="24"/>
          <w:szCs w:val="24"/>
        </w:rPr>
        <w:t>entendre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present</w:t>
      </w:r>
      <w:proofErr w:type="spellEnd"/>
      <w:r w:rsidRPr="007820FE">
        <w:rPr>
          <w:rFonts w:ascii="Times New Roman" w:eastAsia="Songti TC" w:hAnsi="Times New Roman"/>
          <w:sz w:val="24"/>
          <w:szCs w:val="24"/>
        </w:rPr>
        <w:t xml:space="preserve">" but also </w:t>
      </w:r>
      <w:proofErr w:type="spellStart"/>
      <w:r w:rsidRPr="007820FE">
        <w:rPr>
          <w:rFonts w:ascii="Times New Roman" w:eastAsia="Songti TC" w:hAnsi="Times New Roman"/>
          <w:sz w:val="24"/>
          <w:szCs w:val="24"/>
        </w:rPr>
        <w:t>crucial</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get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logic</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passive </w:t>
      </w:r>
      <w:proofErr w:type="spellStart"/>
      <w:r w:rsidRPr="007820FE">
        <w:rPr>
          <w:rFonts w:ascii="Times New Roman" w:eastAsia="Songti TC" w:hAnsi="Times New Roman"/>
          <w:sz w:val="24"/>
          <w:szCs w:val="24"/>
        </w:rPr>
        <w:t>voice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present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because</w:t>
      </w:r>
      <w:proofErr w:type="spellEnd"/>
      <w:r w:rsidRPr="007820FE">
        <w:rPr>
          <w:rFonts w:ascii="Times New Roman" w:eastAsia="Songti TC" w:hAnsi="Times New Roman"/>
          <w:sz w:val="24"/>
          <w:szCs w:val="24"/>
        </w:rPr>
        <w:t xml:space="preserve"> </w:t>
      </w:r>
      <w:r w:rsidRPr="007820FE">
        <w:rPr>
          <w:rFonts w:ascii="Times New Roman" w:eastAsia="Songti TC" w:hAnsi="Times New Roman"/>
          <w:sz w:val="24"/>
          <w:szCs w:val="24"/>
          <w:lang w:val="en-US" w:eastAsia="zh-CN"/>
        </w:rPr>
        <w:t>the emphasis is no longer on the project of the self but the receptivity of the granting</w:t>
      </w:r>
      <w:r w:rsidRPr="007820FE">
        <w:rPr>
          <w:rFonts w:ascii="Times New Roman" w:eastAsia="Songti TC" w:hAnsi="Times New Roman"/>
          <w:sz w:val="24"/>
          <w:szCs w:val="24"/>
        </w:rPr>
        <w:t>.</w:t>
      </w:r>
      <w:r w:rsidRPr="007820FE">
        <w:rPr>
          <w:rStyle w:val="Funotenzeichen"/>
          <w:rFonts w:ascii="Times New Roman" w:eastAsia="Songti TC" w:hAnsi="Times New Roman"/>
          <w:sz w:val="24"/>
          <w:szCs w:val="24"/>
          <w:lang w:val="en-US" w:eastAsia="zh-CN"/>
        </w:rPr>
        <w:footnoteReference w:id="11"/>
      </w:r>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theory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active</w:t>
      </w:r>
      <w:proofErr w:type="spellEnd"/>
      <w:r w:rsidRPr="007820FE">
        <w:rPr>
          <w:rFonts w:ascii="Times New Roman" w:eastAsia="Songti TC" w:hAnsi="Times New Roman"/>
          <w:sz w:val="24"/>
          <w:szCs w:val="24"/>
        </w:rPr>
        <w:t xml:space="preserve"> and passive </w:t>
      </w:r>
      <w:proofErr w:type="spellStart"/>
      <w:r w:rsidRPr="007820FE">
        <w:rPr>
          <w:rFonts w:ascii="Times New Roman" w:eastAsia="Songti TC" w:hAnsi="Times New Roman"/>
          <w:sz w:val="24"/>
          <w:szCs w:val="24"/>
        </w:rPr>
        <w:t>verbs</w:t>
      </w:r>
      <w:proofErr w:type="spellEnd"/>
      <w:r w:rsidRPr="007820FE">
        <w:rPr>
          <w:rFonts w:ascii="Times New Roman" w:eastAsia="Songti TC" w:hAnsi="Times New Roman"/>
          <w:sz w:val="24"/>
          <w:szCs w:val="24"/>
        </w:rPr>
        <w:t xml:space="preserve"> in Chinese </w:t>
      </w:r>
      <w:proofErr w:type="spellStart"/>
      <w:r w:rsidRPr="007820FE">
        <w:rPr>
          <w:rFonts w:ascii="Times New Roman" w:eastAsia="Songti TC" w:hAnsi="Times New Roman"/>
          <w:sz w:val="24"/>
          <w:szCs w:val="24"/>
        </w:rPr>
        <w:t>can</w:t>
      </w:r>
      <w:proofErr w:type="spellEnd"/>
      <w:r w:rsidRPr="007820FE">
        <w:rPr>
          <w:rFonts w:ascii="Times New Roman" w:eastAsia="Songti TC" w:hAnsi="Times New Roman"/>
          <w:sz w:val="24"/>
          <w:szCs w:val="24"/>
        </w:rPr>
        <w:t xml:space="preserve"> also </w:t>
      </w:r>
      <w:proofErr w:type="spellStart"/>
      <w:r w:rsidRPr="007820FE">
        <w:rPr>
          <w:rFonts w:ascii="Times New Roman" w:eastAsia="Songti TC" w:hAnsi="Times New Roman"/>
          <w:sz w:val="24"/>
          <w:szCs w:val="24"/>
        </w:rPr>
        <w:t>be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combined</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one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word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For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instance</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r w:rsidRPr="007820FE">
        <w:rPr>
          <w:rFonts w:ascii="Times New Roman" w:eastAsia="Songti TC" w:hAnsi="Times New Roman"/>
          <w:i/>
          <w:sz w:val="24"/>
          <w:szCs w:val="24"/>
        </w:rPr>
        <w:t xml:space="preserve">Book </w:t>
      </w:r>
      <w:proofErr w:type="spellStart"/>
      <w:r w:rsidRPr="007820FE">
        <w:rPr>
          <w:rFonts w:ascii="Times New Roman" w:eastAsia="Songti TC" w:hAnsi="Times New Roman"/>
          <w:i/>
          <w:sz w:val="24"/>
          <w:szCs w:val="24"/>
        </w:rPr>
        <w:t>of</w:t>
      </w:r>
      <w:proofErr w:type="spellEnd"/>
      <w:r w:rsidRPr="007820FE">
        <w:rPr>
          <w:rFonts w:ascii="Times New Roman" w:eastAsia="Songti TC" w:hAnsi="Times New Roman"/>
          <w:i/>
          <w:sz w:val="24"/>
          <w:szCs w:val="24"/>
        </w:rPr>
        <w:t xml:space="preserve"> </w:t>
      </w:r>
      <w:proofErr w:type="spellStart"/>
      <w:r w:rsidRPr="007820FE">
        <w:rPr>
          <w:rFonts w:ascii="Times New Roman" w:eastAsia="Songti TC" w:hAnsi="Times New Roman"/>
          <w:i/>
          <w:sz w:val="24"/>
          <w:szCs w:val="24"/>
        </w:rPr>
        <w:t>Changes</w:t>
      </w:r>
      <w:proofErr w:type="spellEnd"/>
      <w:r w:rsidRPr="007820FE">
        <w:rPr>
          <w:rFonts w:ascii="Times New Roman" w:eastAsia="Songti TC" w:hAnsi="Times New Roman"/>
          <w:sz w:val="24"/>
          <w:szCs w:val="24"/>
        </w:rPr>
        <w:t>, "</w:t>
      </w:r>
      <w:proofErr w:type="spellStart"/>
      <w:r w:rsidRPr="007820FE">
        <w:rPr>
          <w:rFonts w:ascii="Times New Roman" w:eastAsia="Songti TC" w:hAnsi="Times New Roman"/>
          <w:sz w:val="24"/>
          <w:szCs w:val="24"/>
        </w:rPr>
        <w:t>detain</w:t>
      </w:r>
      <w:proofErr w:type="spellEnd"/>
      <w:r w:rsidRPr="007820FE">
        <w:rPr>
          <w:rFonts w:ascii="Times New Roman" w:eastAsia="Songti TC" w:hAnsi="Times New Roman"/>
          <w:sz w:val="24"/>
          <w:szCs w:val="24"/>
        </w:rPr>
        <w:t xml:space="preserve">" was </w:t>
      </w:r>
      <w:proofErr w:type="spellStart"/>
      <w:r w:rsidRPr="007820FE">
        <w:rPr>
          <w:rFonts w:ascii="Times New Roman" w:eastAsia="Songti TC" w:hAnsi="Times New Roman"/>
          <w:sz w:val="24"/>
          <w:szCs w:val="24"/>
        </w:rPr>
        <w:t>used</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sense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detaining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someone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as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well</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as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detained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someone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However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concepts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related</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gift</w:t>
      </w:r>
      <w:proofErr w:type="spellEnd"/>
      <w:r w:rsidRPr="007820FE">
        <w:rPr>
          <w:rFonts w:ascii="Times New Roman" w:eastAsia="Songti TC" w:hAnsi="Times New Roman"/>
          <w:sz w:val="24"/>
          <w:szCs w:val="24"/>
        </w:rPr>
        <w:t xml:space="preserve">," such </w:t>
      </w:r>
      <w:proofErr w:type="spellStart"/>
      <w:r w:rsidRPr="007820FE">
        <w:rPr>
          <w:rFonts w:ascii="Times New Roman" w:eastAsia="Songti TC" w:hAnsi="Times New Roman"/>
          <w:sz w:val="24"/>
          <w:szCs w:val="24"/>
        </w:rPr>
        <w:t>as</w:t>
      </w:r>
      <w:proofErr w:type="spellEnd"/>
      <w:r w:rsidRPr="007820FE">
        <w:rPr>
          <w:rFonts w:ascii="Times New Roman" w:eastAsia="Songti TC" w:hAnsi="Times New Roman"/>
          <w:sz w:val="24"/>
          <w:szCs w:val="24"/>
        </w:rPr>
        <w:t xml:space="preserve"> </w:t>
      </w:r>
      <w:r w:rsidRPr="007820FE">
        <w:rPr>
          <w:rFonts w:ascii="Times New Roman" w:eastAsia="Songti TC" w:hAnsi="Times New Roman"/>
          <w:sz w:val="24"/>
          <w:szCs w:val="24"/>
        </w:rPr>
        <w:t>赠</w:t>
      </w:r>
      <w:r w:rsidRPr="007820FE">
        <w:rPr>
          <w:rFonts w:ascii="Times New Roman" w:eastAsia="Songti TC" w:hAnsi="Times New Roman"/>
          <w:sz w:val="24"/>
          <w:szCs w:val="24"/>
        </w:rPr>
        <w:t>-</w:t>
      </w:r>
      <w:r w:rsidRPr="007820FE">
        <w:rPr>
          <w:rFonts w:ascii="Times New Roman" w:eastAsia="Songti TC" w:hAnsi="Times New Roman"/>
          <w:sz w:val="24"/>
          <w:szCs w:val="24"/>
        </w:rPr>
        <w:t>馈</w:t>
      </w:r>
      <w:r w:rsidRPr="007820FE">
        <w:rPr>
          <w:rFonts w:ascii="Times New Roman" w:eastAsia="Songti TC" w:hAnsi="Times New Roman"/>
          <w:sz w:val="24"/>
          <w:szCs w:val="24"/>
        </w:rPr>
        <w:t>-</w:t>
      </w:r>
      <w:r w:rsidRPr="007820FE">
        <w:rPr>
          <w:rFonts w:ascii="Times New Roman" w:eastAsia="Songti TC" w:hAnsi="Times New Roman"/>
          <w:sz w:val="24"/>
          <w:szCs w:val="24"/>
          <w:lang w:val="en-US" w:eastAsia="zh-CN"/>
        </w:rPr>
        <w:t>贻</w:t>
      </w:r>
      <w:r w:rsidRPr="007820FE">
        <w:rPr>
          <w:rFonts w:ascii="Times New Roman" w:eastAsia="Songti TC" w:hAnsi="Times New Roman"/>
          <w:sz w:val="24"/>
          <w:szCs w:val="24"/>
        </w:rPr>
        <w:t xml:space="preserve">and so on, do not </w:t>
      </w:r>
      <w:proofErr w:type="spellStart"/>
      <w:r w:rsidRPr="007820FE">
        <w:rPr>
          <w:rFonts w:ascii="Times New Roman" w:eastAsia="Songti TC" w:hAnsi="Times New Roman"/>
          <w:sz w:val="24"/>
          <w:szCs w:val="24"/>
        </w:rPr>
        <w:t>mean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given</w:t>
      </w:r>
      <w:proofErr w:type="spellEnd"/>
      <w:r w:rsidRPr="007820FE">
        <w:rPr>
          <w:rFonts w:ascii="Times New Roman" w:eastAsia="Songti TC" w:hAnsi="Times New Roman"/>
          <w:sz w:val="24"/>
          <w:szCs w:val="24"/>
        </w:rPr>
        <w:t>."</w:t>
      </w:r>
      <w:r w:rsidRPr="007820FE">
        <w:rPr>
          <w:rStyle w:val="Funotenzeichen"/>
          <w:rFonts w:ascii="Times New Roman" w:eastAsia="Songti TC" w:hAnsi="Times New Roman"/>
          <w:sz w:val="24"/>
          <w:szCs w:val="24"/>
        </w:rPr>
        <w:footnoteReference w:id="12"/>
      </w:r>
      <w:r w:rsidRPr="007820FE">
        <w:rPr>
          <w:rFonts w:ascii="Times New Roman" w:eastAsia="Songti TC" w:hAnsi="Times New Roman"/>
          <w:sz w:val="24"/>
          <w:szCs w:val="24"/>
        </w:rPr>
        <w:t xml:space="preserve">  Just </w:t>
      </w:r>
      <w:proofErr w:type="spellStart"/>
      <w:r w:rsidRPr="007820FE">
        <w:rPr>
          <w:rFonts w:ascii="Times New Roman" w:eastAsia="Songti TC" w:hAnsi="Times New Roman"/>
          <w:sz w:val="24"/>
          <w:szCs w:val="24"/>
        </w:rPr>
        <w:t>as</w:t>
      </w:r>
      <w:proofErr w:type="spellEnd"/>
      <w:r w:rsidRPr="007820FE">
        <w:rPr>
          <w:rFonts w:ascii="Times New Roman" w:eastAsia="Songti TC" w:hAnsi="Times New Roman"/>
          <w:sz w:val="24"/>
          <w:szCs w:val="24"/>
        </w:rPr>
        <w:t xml:space="preserve"> in Chinese,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basic</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logic</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phrase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proper </w:t>
      </w:r>
      <w:proofErr w:type="spellStart"/>
      <w:r w:rsidRPr="007820FE">
        <w:rPr>
          <w:rFonts w:ascii="Times New Roman" w:eastAsia="Songti TC" w:hAnsi="Times New Roman"/>
          <w:sz w:val="24"/>
          <w:szCs w:val="24"/>
        </w:rPr>
        <w:t>to</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return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gift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courtesy</w:t>
      </w:r>
      <w:proofErr w:type="spellEnd"/>
      <w:r w:rsidRPr="007820FE">
        <w:rPr>
          <w:rFonts w:ascii="Times New Roman" w:eastAsia="Songti TC" w:hAnsi="Times New Roman"/>
          <w:sz w:val="24"/>
          <w:szCs w:val="24"/>
        </w:rPr>
        <w:t xml:space="preserve">' </w:t>
      </w:r>
      <w:r w:rsidRPr="007820FE">
        <w:rPr>
          <w:rFonts w:ascii="Times New Roman" w:eastAsia="Songti TC" w:hAnsi="Times New Roman"/>
          <w:sz w:val="24"/>
          <w:szCs w:val="24"/>
        </w:rPr>
        <w:t>（</w:t>
      </w:r>
      <w:proofErr w:type="spellStart"/>
      <w:r w:rsidRPr="007820FE">
        <w:rPr>
          <w:rFonts w:ascii="Times New Roman" w:eastAsia="Songti TC" w:hAnsi="Times New Roman"/>
          <w:sz w:val="24"/>
          <w:szCs w:val="24"/>
        </w:rPr>
        <w:t>礼尚往来）</w:t>
      </w:r>
      <w:r w:rsidRPr="007820FE">
        <w:rPr>
          <w:rFonts w:ascii="Times New Roman" w:eastAsia="Songti TC" w:hAnsi="Times New Roman"/>
          <w:sz w:val="24"/>
          <w:szCs w:val="24"/>
        </w:rPr>
        <w:t>lies</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reciprocity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rather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than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being</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given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counter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gift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something</w:t>
      </w:r>
      <w:proofErr w:type="spellEnd"/>
      <w:r w:rsidRPr="007820FE">
        <w:rPr>
          <w:rFonts w:ascii="Times New Roman" w:eastAsia="Songti TC" w:hAnsi="Times New Roman"/>
          <w:sz w:val="24"/>
          <w:szCs w:val="24"/>
        </w:rPr>
        <w:t xml:space="preserve"> like '</w:t>
      </w:r>
      <w:proofErr w:type="spellStart"/>
      <w:r w:rsidRPr="007820FE">
        <w:rPr>
          <w:rFonts w:ascii="Times New Roman" w:eastAsia="Songti TC" w:hAnsi="Times New Roman"/>
          <w:sz w:val="24"/>
          <w:szCs w:val="24"/>
        </w:rPr>
        <w:t>tribute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for</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blessings</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folk</w:t>
      </w:r>
      <w:proofErr w:type="spellEnd"/>
      <w:r w:rsidRPr="007820FE">
        <w:rPr>
          <w:rFonts w:ascii="Times New Roman" w:eastAsia="Songti TC" w:hAnsi="Times New Roman"/>
          <w:sz w:val="24"/>
          <w:szCs w:val="24"/>
        </w:rPr>
        <w:t xml:space="preserve"> beliefs, </w:t>
      </w:r>
      <w:proofErr w:type="spellStart"/>
      <w:r w:rsidRPr="007820FE">
        <w:rPr>
          <w:rFonts w:ascii="Times New Roman" w:eastAsia="Songti TC" w:hAnsi="Times New Roman"/>
          <w:sz w:val="24"/>
          <w:szCs w:val="24"/>
        </w:rPr>
        <w:t>is</w:t>
      </w:r>
      <w:proofErr w:type="spellEnd"/>
      <w:r w:rsidRPr="007820FE">
        <w:rPr>
          <w:rFonts w:ascii="Times New Roman" w:eastAsia="Songti TC" w:hAnsi="Times New Roman"/>
          <w:sz w:val="24"/>
          <w:szCs w:val="24"/>
        </w:rPr>
        <w:t xml:space="preserve"> also different </w:t>
      </w:r>
      <w:proofErr w:type="spellStart"/>
      <w:r w:rsidRPr="007820FE">
        <w:rPr>
          <w:rFonts w:ascii="Times New Roman" w:eastAsia="Songti TC" w:hAnsi="Times New Roman"/>
          <w:sz w:val="24"/>
          <w:szCs w:val="24"/>
        </w:rPr>
        <w:t>from</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costly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grace</w:t>
      </w:r>
      <w:proofErr w:type="spellEnd"/>
      <w:r w:rsidRPr="007820FE">
        <w:rPr>
          <w:rFonts w:ascii="Times New Roman" w:eastAsia="Songti TC" w:hAnsi="Times New Roman"/>
          <w:sz w:val="24"/>
          <w:szCs w:val="24"/>
        </w:rPr>
        <w:t xml:space="preserve">' in Christian sense. This </w:t>
      </w:r>
      <w:proofErr w:type="spellStart"/>
      <w:r w:rsidRPr="007820FE">
        <w:rPr>
          <w:rFonts w:ascii="Times New Roman" w:eastAsia="Songti TC" w:hAnsi="Times New Roman"/>
          <w:sz w:val="24"/>
          <w:szCs w:val="24"/>
        </w:rPr>
        <w:t>may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make</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Chinese </w:t>
      </w:r>
      <w:proofErr w:type="spellStart"/>
      <w:r w:rsidRPr="007820FE">
        <w:rPr>
          <w:rFonts w:ascii="Times New Roman" w:eastAsia="Songti TC" w:hAnsi="Times New Roman"/>
          <w:sz w:val="24"/>
          <w:szCs w:val="24"/>
          <w:lang w:eastAsia="zh-CN"/>
        </w:rPr>
        <w:t>translation</w:t>
      </w:r>
      <w:proofErr w:type="spellEnd"/>
      <w:r w:rsidRPr="007820FE">
        <w:rPr>
          <w:rFonts w:ascii="Times New Roman" w:eastAsia="Songti TC" w:hAnsi="Times New Roman"/>
          <w:sz w:val="24"/>
          <w:szCs w:val="24"/>
        </w:rPr>
        <w:t xml:space="preserve"> and </w:t>
      </w:r>
      <w:proofErr w:type="spellStart"/>
      <w:r w:rsidRPr="007820FE">
        <w:rPr>
          <w:rFonts w:ascii="Times New Roman" w:eastAsia="Songti TC" w:hAnsi="Times New Roman"/>
          <w:sz w:val="24"/>
          <w:szCs w:val="24"/>
        </w:rPr>
        <w:t>interpretation</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of</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gift</w:t>
      </w:r>
      <w:proofErr w:type="spellEnd"/>
      <w:r w:rsidRPr="007820FE">
        <w:rPr>
          <w:rFonts w:ascii="Times New Roman" w:eastAsia="Songti TC" w:hAnsi="Times New Roman"/>
          <w:sz w:val="24"/>
          <w:szCs w:val="24"/>
        </w:rPr>
        <w:t xml:space="preserve">" in </w:t>
      </w:r>
      <w:proofErr w:type="spellStart"/>
      <w:r w:rsidRPr="007820FE">
        <w:rPr>
          <w:rFonts w:ascii="Times New Roman" w:eastAsia="Songti TC" w:hAnsi="Times New Roman"/>
          <w:sz w:val="24"/>
          <w:szCs w:val="24"/>
        </w:rPr>
        <w:t>the</w:t>
      </w:r>
      <w:proofErr w:type="spellEnd"/>
      <w:r w:rsidRPr="007820FE">
        <w:rPr>
          <w:rFonts w:ascii="Times New Roman" w:eastAsia="Songti TC" w:hAnsi="Times New Roman"/>
          <w:sz w:val="24"/>
          <w:szCs w:val="24"/>
        </w:rPr>
        <w:t xml:space="preserve"> modern </w:t>
      </w:r>
      <w:proofErr w:type="spellStart"/>
      <w:r w:rsidRPr="007820FE">
        <w:rPr>
          <w:rFonts w:ascii="Times New Roman" w:eastAsia="Songti TC" w:hAnsi="Times New Roman"/>
          <w:sz w:val="24"/>
          <w:szCs w:val="24"/>
        </w:rPr>
        <w:t>context</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particularly</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interesting</w:t>
      </w:r>
      <w:proofErr w:type="spellEnd"/>
      <w:r w:rsidRPr="007820FE">
        <w:rPr>
          <w:rFonts w:ascii="Times New Roman" w:eastAsia="Songti TC" w:hAnsi="Times New Roman"/>
          <w:sz w:val="24"/>
          <w:szCs w:val="24"/>
        </w:rPr>
        <w:t>.</w:t>
      </w:r>
    </w:p>
    <w:p w14:paraId="246BB3A7" w14:textId="39F48937" w:rsidR="008B1189" w:rsidRPr="007820FE" w:rsidRDefault="008B1189" w:rsidP="007820FE">
      <w:pPr>
        <w:pStyle w:val="NurText"/>
        <w:tabs>
          <w:tab w:val="left" w:pos="5860"/>
        </w:tabs>
        <w:spacing w:before="120" w:after="120"/>
        <w:contextualSpacing/>
        <w:rPr>
          <w:rFonts w:ascii="Times New Roman" w:eastAsia="Songti TC" w:hAnsi="Times New Roman"/>
          <w:color w:val="383A3A"/>
          <w:sz w:val="24"/>
          <w:szCs w:val="24"/>
        </w:rPr>
      </w:pPr>
      <w:r w:rsidRPr="007820FE">
        <w:rPr>
          <w:rFonts w:ascii="Times New Roman" w:eastAsia="Songti TC" w:hAnsi="Times New Roman"/>
          <w:sz w:val="24"/>
          <w:szCs w:val="24"/>
          <w:lang w:val="en-US" w:eastAsia="zh-CN"/>
        </w:rPr>
        <w:t xml:space="preserve">Jacques Derrida’s book </w:t>
      </w:r>
      <w:r w:rsidRPr="007820FE">
        <w:rPr>
          <w:rFonts w:ascii="Times New Roman" w:eastAsia="Songti TC" w:hAnsi="Times New Roman"/>
          <w:i/>
          <w:sz w:val="24"/>
          <w:szCs w:val="24"/>
          <w:lang w:val="en-US" w:eastAsia="zh-CN"/>
        </w:rPr>
        <w:t>The Gift to Death</w:t>
      </w:r>
      <w:r w:rsidRPr="007820FE">
        <w:rPr>
          <w:rFonts w:ascii="Times New Roman" w:eastAsia="Songti TC" w:hAnsi="Times New Roman"/>
          <w:sz w:val="24"/>
          <w:szCs w:val="24"/>
          <w:lang w:val="en-US" w:eastAsia="zh-CN"/>
        </w:rPr>
        <w:t xml:space="preserve"> may serve as a good example here. The French title of the book </w:t>
      </w:r>
      <w:r w:rsidRPr="007820FE">
        <w:rPr>
          <w:rFonts w:ascii="Times New Roman" w:eastAsia="Songti TC" w:hAnsi="Times New Roman"/>
          <w:i/>
          <w:sz w:val="24"/>
          <w:szCs w:val="24"/>
          <w:lang w:val="en-US" w:eastAsia="zh-CN"/>
        </w:rPr>
        <w:t>Donner la mort</w:t>
      </w:r>
      <w:r w:rsidRPr="007820FE">
        <w:rPr>
          <w:rFonts w:ascii="Times New Roman" w:eastAsia="Songti TC" w:hAnsi="Times New Roman"/>
          <w:sz w:val="24"/>
          <w:szCs w:val="24"/>
          <w:lang w:val="en-US" w:eastAsia="zh-CN"/>
        </w:rPr>
        <w:t xml:space="preserve"> is playing on the double entendre of the word “donner,” whose ordinary sense means "to give," and the idiomatic sense is “to put to death” or "to commit suicide." In other words, the word “</w:t>
      </w:r>
      <w:r w:rsidRPr="007820FE">
        <w:rPr>
          <w:rFonts w:ascii="Times New Roman" w:eastAsia="Songti TC" w:hAnsi="Times New Roman"/>
          <w:iCs/>
          <w:sz w:val="24"/>
          <w:szCs w:val="24"/>
          <w:lang w:val="en-US" w:eastAsia="zh-CN"/>
        </w:rPr>
        <w:t xml:space="preserve">donner” can mean both “offering” and “death,” which not only sounds completely strange </w:t>
      </w:r>
      <w:r w:rsidRPr="007820FE">
        <w:rPr>
          <w:rFonts w:ascii="Times New Roman" w:eastAsia="Songti TC" w:hAnsi="Times New Roman"/>
          <w:sz w:val="24"/>
          <w:szCs w:val="24"/>
          <w:lang w:val="en-US" w:eastAsia="zh-CN"/>
        </w:rPr>
        <w:t>to Chinese</w:t>
      </w:r>
      <w:r w:rsidRPr="007820FE">
        <w:rPr>
          <w:rFonts w:ascii="Times New Roman" w:eastAsia="Songti TC" w:hAnsi="Times New Roman"/>
          <w:iCs/>
          <w:sz w:val="24"/>
          <w:szCs w:val="24"/>
          <w:lang w:val="en-US" w:eastAsia="zh-CN"/>
        </w:rPr>
        <w:t xml:space="preserve"> readers but also </w:t>
      </w:r>
      <w:r w:rsidRPr="007820FE">
        <w:rPr>
          <w:rFonts w:ascii="Times New Roman" w:eastAsia="Songti TC" w:hAnsi="Times New Roman"/>
          <w:sz w:val="24"/>
          <w:szCs w:val="24"/>
          <w:lang w:val="en-US" w:eastAsia="zh-CN"/>
        </w:rPr>
        <w:t>requires explanations to English readers. Therefore, the English translator states explicitly: “In the text, I have tried to follow the idea of ‘giving’ or ‘granting’ wherever possible. However, I have used ‘to put to death’ when comprehensibility demands. … Whenever ‘to put to death’ is used; however, the reader should also hear the sense of ‘giving’."</w:t>
      </w:r>
      <w:r w:rsidRPr="007820FE">
        <w:rPr>
          <w:rStyle w:val="Funotenzeichen"/>
          <w:rFonts w:ascii="Times New Roman" w:eastAsia="Songti TC" w:hAnsi="Times New Roman"/>
          <w:sz w:val="24"/>
          <w:szCs w:val="24"/>
          <w:lang w:val="en-US" w:eastAsia="zh-CN"/>
        </w:rPr>
        <w:t xml:space="preserve"> </w:t>
      </w:r>
      <w:r w:rsidRPr="007820FE">
        <w:rPr>
          <w:rStyle w:val="Funotenzeichen"/>
          <w:rFonts w:ascii="Times New Roman" w:eastAsia="Songti TC" w:hAnsi="Times New Roman"/>
          <w:sz w:val="24"/>
          <w:szCs w:val="24"/>
          <w:lang w:val="en-US" w:eastAsia="zh-CN"/>
        </w:rPr>
        <w:footnoteReference w:id="13"/>
      </w:r>
      <w:r w:rsidRPr="007820FE">
        <w:rPr>
          <w:rFonts w:ascii="Times New Roman" w:eastAsia="Songti TC" w:hAnsi="Times New Roman"/>
          <w:sz w:val="24"/>
          <w:szCs w:val="24"/>
          <w:lang w:val="en-US" w:eastAsia="zh-CN"/>
        </w:rPr>
        <w:t xml:space="preserve"> Associating “</w:t>
      </w:r>
      <w:r w:rsidRPr="007820FE">
        <w:rPr>
          <w:rFonts w:ascii="Times New Roman" w:eastAsia="Songti TC" w:hAnsi="Times New Roman"/>
          <w:iCs/>
          <w:sz w:val="24"/>
          <w:szCs w:val="24"/>
          <w:lang w:val="en-US" w:eastAsia="zh-CN"/>
        </w:rPr>
        <w:t xml:space="preserve">donner” </w:t>
      </w:r>
      <w:r w:rsidRPr="007820FE">
        <w:rPr>
          <w:rFonts w:ascii="Times New Roman" w:eastAsia="Songti TC" w:hAnsi="Times New Roman"/>
          <w:sz w:val="24"/>
          <w:szCs w:val="24"/>
          <w:lang w:val="en-US" w:eastAsia="zh-CN"/>
        </w:rPr>
        <w:t>or “giving” to the Chinese words for "gift" or "granting," we may refer to another critical term of Derrida: hospitality.</w:t>
      </w:r>
    </w:p>
    <w:p w14:paraId="3E410A43" w14:textId="7540CC1C" w:rsidR="008B1189" w:rsidRPr="007820FE" w:rsidRDefault="008B1189" w:rsidP="007820FE">
      <w:pPr>
        <w:spacing w:before="120" w:after="120"/>
        <w:rPr>
          <w:rFonts w:ascii="Times New Roman" w:eastAsia="Songti TC" w:hAnsi="Times New Roman"/>
          <w:color w:val="000000"/>
          <w:sz w:val="24"/>
          <w:szCs w:val="24"/>
        </w:rPr>
      </w:pPr>
      <w:proofErr w:type="spellStart"/>
      <w:r w:rsidRPr="007820FE">
        <w:rPr>
          <w:rFonts w:ascii="Times New Roman" w:eastAsia="Songti TC" w:hAnsi="Times New Roman"/>
          <w:sz w:val="24"/>
          <w:szCs w:val="24"/>
        </w:rPr>
        <w:t>Gerasimos</w:t>
      </w:r>
      <w:proofErr w:type="spellEnd"/>
      <w:r w:rsidRPr="007820FE">
        <w:rPr>
          <w:rFonts w:ascii="Times New Roman" w:eastAsia="Songti TC" w:hAnsi="Times New Roman"/>
          <w:sz w:val="24"/>
          <w:szCs w:val="24"/>
        </w:rPr>
        <w:t xml:space="preserve"> </w:t>
      </w:r>
      <w:proofErr w:type="spellStart"/>
      <w:r w:rsidRPr="007820FE">
        <w:rPr>
          <w:rFonts w:ascii="Times New Roman" w:eastAsia="Songti TC" w:hAnsi="Times New Roman"/>
          <w:sz w:val="24"/>
          <w:szCs w:val="24"/>
        </w:rPr>
        <w:t>Kakoliris</w:t>
      </w:r>
      <w:proofErr w:type="spellEnd"/>
      <w:r w:rsidRPr="007820FE">
        <w:rPr>
          <w:rFonts w:ascii="Times New Roman" w:eastAsia="Songti TC" w:hAnsi="Times New Roman"/>
          <w:sz w:val="24"/>
          <w:szCs w:val="24"/>
        </w:rPr>
        <w:t xml:space="preserve"> listed Derrida's series of discussions on hospitality in his article "Jacques Derrida on the Ethics of Hospitality": “For Derrida, the logic of the concept of hospitality is governed by an absolute antinomy or aporia</w:t>
      </w:r>
      <w:r w:rsidRPr="007820FE">
        <w:rPr>
          <w:rFonts w:ascii="Times New Roman" w:eastAsia="Songti TC" w:hAnsi="Times New Roman"/>
          <w:color w:val="383A3A"/>
          <w:sz w:val="24"/>
          <w:szCs w:val="24"/>
        </w:rPr>
        <w:t xml:space="preserve">…On the one hand, </w:t>
      </w:r>
      <w:r w:rsidRPr="007820FE">
        <w:rPr>
          <w:rFonts w:ascii="Times New Roman" w:eastAsia="Songti TC" w:hAnsi="Times New Roman"/>
          <w:color w:val="262928"/>
          <w:sz w:val="24"/>
          <w:szCs w:val="24"/>
        </w:rPr>
        <w:t>there is </w:t>
      </w:r>
      <w:r w:rsidRPr="007820FE">
        <w:rPr>
          <w:rFonts w:ascii="Times New Roman" w:eastAsia="Songti TC" w:hAnsi="Times New Roman"/>
          <w:i/>
          <w:iCs/>
          <w:color w:val="383A3A"/>
          <w:sz w:val="24"/>
          <w:szCs w:val="24"/>
        </w:rPr>
        <w:t>the </w:t>
      </w:r>
      <w:r w:rsidRPr="007820FE">
        <w:rPr>
          <w:rFonts w:ascii="Times New Roman" w:eastAsia="Songti TC" w:hAnsi="Times New Roman"/>
          <w:color w:val="262928"/>
          <w:sz w:val="24"/>
          <w:szCs w:val="24"/>
        </w:rPr>
        <w:t>law </w:t>
      </w:r>
      <w:r w:rsidRPr="007820FE">
        <w:rPr>
          <w:rFonts w:ascii="Times New Roman" w:eastAsia="Songti TC" w:hAnsi="Times New Roman"/>
          <w:color w:val="383A3A"/>
          <w:sz w:val="24"/>
          <w:szCs w:val="24"/>
        </w:rPr>
        <w:t>of </w:t>
      </w:r>
      <w:r w:rsidRPr="007820FE">
        <w:rPr>
          <w:rFonts w:ascii="Times New Roman" w:eastAsia="Songti TC" w:hAnsi="Times New Roman"/>
          <w:color w:val="262928"/>
          <w:sz w:val="24"/>
          <w:szCs w:val="24"/>
        </w:rPr>
        <w:t>unlim</w:t>
      </w:r>
      <w:r w:rsidRPr="007820FE">
        <w:rPr>
          <w:rFonts w:ascii="Times New Roman" w:eastAsia="Songti TC" w:hAnsi="Times New Roman"/>
          <w:color w:val="383A3A"/>
          <w:sz w:val="24"/>
          <w:szCs w:val="24"/>
        </w:rPr>
        <w:t xml:space="preserve">ited hospitality. </w:t>
      </w:r>
      <w:r w:rsidRPr="007820FE">
        <w:rPr>
          <w:rFonts w:ascii="Times New Roman" w:eastAsia="Songti TC" w:hAnsi="Times New Roman"/>
          <w:color w:val="4D4F4F"/>
          <w:sz w:val="24"/>
          <w:szCs w:val="24"/>
        </w:rPr>
        <w:t>On </w:t>
      </w:r>
      <w:r w:rsidRPr="007820FE">
        <w:rPr>
          <w:rFonts w:ascii="Times New Roman" w:eastAsia="Songti TC" w:hAnsi="Times New Roman"/>
          <w:color w:val="383A3A"/>
          <w:sz w:val="24"/>
          <w:szCs w:val="24"/>
        </w:rPr>
        <w:t>the other hand, </w:t>
      </w:r>
      <w:r w:rsidRPr="007820FE">
        <w:rPr>
          <w:rFonts w:ascii="Times New Roman" w:eastAsia="Songti TC" w:hAnsi="Times New Roman"/>
          <w:color w:val="262928"/>
          <w:sz w:val="24"/>
          <w:szCs w:val="24"/>
        </w:rPr>
        <w:t>th</w:t>
      </w:r>
      <w:r w:rsidRPr="007820FE">
        <w:rPr>
          <w:rFonts w:ascii="Times New Roman" w:eastAsia="Songti TC" w:hAnsi="Times New Roman"/>
          <w:color w:val="4D4F4F"/>
          <w:sz w:val="24"/>
          <w:szCs w:val="24"/>
        </w:rPr>
        <w:t>ere </w:t>
      </w:r>
      <w:r w:rsidRPr="007820FE">
        <w:rPr>
          <w:rFonts w:ascii="Times New Roman" w:eastAsia="Songti TC" w:hAnsi="Times New Roman"/>
          <w:color w:val="383A3A"/>
          <w:sz w:val="24"/>
          <w:szCs w:val="24"/>
        </w:rPr>
        <w:t>are the conditional laws of hospitality...</w:t>
      </w:r>
      <w:r w:rsidRPr="007820FE">
        <w:rPr>
          <w:rFonts w:ascii="Times New Roman" w:eastAsia="Songti TC" w:hAnsi="Times New Roman"/>
          <w:sz w:val="24"/>
          <w:szCs w:val="24"/>
        </w:rPr>
        <w:t xml:space="preserve"> The responsible action and decision consist of the need to negotiate </w:t>
      </w:r>
      <w:r w:rsidRPr="007820FE">
        <w:rPr>
          <w:rFonts w:ascii="Times New Roman" w:eastAsia="Songti TC" w:hAnsi="Times New Roman"/>
          <w:sz w:val="24"/>
          <w:szCs w:val="24"/>
        </w:rPr>
        <w:lastRenderedPageBreak/>
        <w:t>between these two hetero</w:t>
      </w:r>
      <w:r w:rsidRPr="007820FE">
        <w:rPr>
          <w:rFonts w:ascii="Times New Roman" w:eastAsia="Songti TC" w:hAnsi="Times New Roman"/>
          <w:b/>
          <w:bCs/>
          <w:sz w:val="24"/>
          <w:szCs w:val="24"/>
        </w:rPr>
        <w:t>ge</w:t>
      </w:r>
      <w:r w:rsidRPr="007820FE">
        <w:rPr>
          <w:rFonts w:ascii="Times New Roman" w:eastAsia="Songti TC" w:hAnsi="Times New Roman"/>
          <w:sz w:val="24"/>
          <w:szCs w:val="24"/>
        </w:rPr>
        <w:t>neous requirements continuously."</w:t>
      </w:r>
      <w:r w:rsidRPr="007820FE">
        <w:rPr>
          <w:rStyle w:val="Funotenzeichen"/>
          <w:rFonts w:ascii="Times New Roman" w:eastAsia="Songti TC" w:hAnsi="Times New Roman"/>
          <w:sz w:val="24"/>
          <w:szCs w:val="24"/>
        </w:rPr>
        <w:footnoteReference w:id="14"/>
      </w:r>
      <w:r w:rsidRPr="007820FE">
        <w:rPr>
          <w:rFonts w:ascii="Times New Roman" w:eastAsia="Songti TC" w:hAnsi="Times New Roman"/>
          <w:sz w:val="24"/>
          <w:szCs w:val="24"/>
        </w:rPr>
        <w:t>To put in another way, the law of unlimited hospitality or unconditional hospitality is practically impossible, and the "responsibility" we can assume is merely a "response that constitutes responsibility." It carries the same logic of “it is given," as in the case of "present" as "time" or the verb to be as an expression of Being.</w:t>
      </w:r>
    </w:p>
    <w:p w14:paraId="3513D459" w14:textId="51E332CD"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color w:val="000000"/>
          <w:sz w:val="24"/>
          <w:szCs w:val="24"/>
        </w:rPr>
        <w:t>For some Chinese readers, when reading Derrida, it is very easy and convenient for them to think of “hospitality” in terms of “tourism and hospitality" or “international affairs etiquette” because  the Chinese translation of the word is “</w:t>
      </w:r>
      <w:r w:rsidRPr="007820FE">
        <w:rPr>
          <w:rFonts w:ascii="Times New Roman" w:eastAsia="Songti TC" w:hAnsi="Times New Roman"/>
          <w:i/>
          <w:iCs/>
          <w:color w:val="000000"/>
          <w:sz w:val="24"/>
          <w:szCs w:val="24"/>
        </w:rPr>
        <w:t xml:space="preserve">hao </w:t>
      </w:r>
      <w:proofErr w:type="spellStart"/>
      <w:r w:rsidRPr="007820FE">
        <w:rPr>
          <w:rFonts w:ascii="Times New Roman" w:eastAsia="Songti TC" w:hAnsi="Times New Roman"/>
          <w:i/>
          <w:iCs/>
          <w:color w:val="000000"/>
          <w:sz w:val="24"/>
          <w:szCs w:val="24"/>
        </w:rPr>
        <w:t>ke</w:t>
      </w:r>
      <w:proofErr w:type="spellEnd"/>
      <w:r w:rsidRPr="007820FE">
        <w:rPr>
          <w:rFonts w:ascii="Times New Roman" w:eastAsia="Songti TC" w:hAnsi="Times New Roman"/>
          <w:color w:val="000000"/>
          <w:sz w:val="24"/>
          <w:szCs w:val="24"/>
        </w:rPr>
        <w:t>好客</w:t>
      </w:r>
      <w:r w:rsidRPr="007820FE">
        <w:rPr>
          <w:rFonts w:ascii="Times New Roman" w:eastAsia="Songti TC" w:hAnsi="Times New Roman"/>
          <w:color w:val="000000"/>
          <w:sz w:val="24"/>
          <w:szCs w:val="24"/>
        </w:rPr>
        <w:t>” (welcoming guests) or “</w:t>
      </w:r>
      <w:proofErr w:type="spellStart"/>
      <w:r w:rsidRPr="007820FE">
        <w:rPr>
          <w:rFonts w:ascii="Times New Roman" w:eastAsia="Songti TC" w:hAnsi="Times New Roman"/>
          <w:i/>
          <w:iCs/>
          <w:color w:val="000000"/>
          <w:sz w:val="24"/>
          <w:szCs w:val="24"/>
        </w:rPr>
        <w:t>dai</w:t>
      </w:r>
      <w:proofErr w:type="spellEnd"/>
      <w:r w:rsidRPr="007820FE">
        <w:rPr>
          <w:rFonts w:ascii="Times New Roman" w:eastAsia="Songti TC" w:hAnsi="Times New Roman"/>
          <w:i/>
          <w:iCs/>
          <w:color w:val="000000"/>
          <w:sz w:val="24"/>
          <w:szCs w:val="24"/>
        </w:rPr>
        <w:t xml:space="preserve"> </w:t>
      </w:r>
      <w:proofErr w:type="spellStart"/>
      <w:r w:rsidRPr="007820FE">
        <w:rPr>
          <w:rFonts w:ascii="Times New Roman" w:eastAsia="Songti TC" w:hAnsi="Times New Roman"/>
          <w:i/>
          <w:iCs/>
          <w:color w:val="000000"/>
          <w:sz w:val="24"/>
          <w:szCs w:val="24"/>
        </w:rPr>
        <w:t>ke</w:t>
      </w:r>
      <w:proofErr w:type="spellEnd"/>
      <w:r w:rsidRPr="007820FE">
        <w:rPr>
          <w:rFonts w:ascii="Times New Roman" w:eastAsia="Songti TC" w:hAnsi="Times New Roman"/>
          <w:i/>
          <w:iCs/>
          <w:color w:val="000000"/>
          <w:sz w:val="24"/>
          <w:szCs w:val="24"/>
        </w:rPr>
        <w:t xml:space="preserve"> </w:t>
      </w:r>
      <w:proofErr w:type="spellStart"/>
      <w:r w:rsidRPr="007820FE">
        <w:rPr>
          <w:rFonts w:ascii="Times New Roman" w:eastAsia="Songti TC" w:hAnsi="Times New Roman"/>
          <w:i/>
          <w:iCs/>
          <w:color w:val="000000"/>
          <w:sz w:val="24"/>
          <w:szCs w:val="24"/>
        </w:rPr>
        <w:t>zhi</w:t>
      </w:r>
      <w:proofErr w:type="spellEnd"/>
      <w:r w:rsidRPr="007820FE">
        <w:rPr>
          <w:rFonts w:ascii="Times New Roman" w:eastAsia="Songti TC" w:hAnsi="Times New Roman"/>
          <w:i/>
          <w:iCs/>
          <w:color w:val="000000"/>
          <w:sz w:val="24"/>
          <w:szCs w:val="24"/>
        </w:rPr>
        <w:t xml:space="preserve"> </w:t>
      </w:r>
      <w:proofErr w:type="spellStart"/>
      <w:r w:rsidRPr="007820FE">
        <w:rPr>
          <w:rFonts w:ascii="Times New Roman" w:eastAsia="Songti TC" w:hAnsi="Times New Roman"/>
          <w:i/>
          <w:iCs/>
          <w:color w:val="000000"/>
          <w:sz w:val="24"/>
          <w:szCs w:val="24"/>
        </w:rPr>
        <w:t>dao</w:t>
      </w:r>
      <w:proofErr w:type="spellEnd"/>
      <w:r w:rsidRPr="007820FE">
        <w:rPr>
          <w:rFonts w:ascii="Times New Roman" w:eastAsia="Songti TC" w:hAnsi="Times New Roman"/>
          <w:color w:val="000000"/>
          <w:sz w:val="24"/>
          <w:szCs w:val="24"/>
        </w:rPr>
        <w:t>待客之道</w:t>
      </w:r>
      <w:r w:rsidRPr="007820FE">
        <w:rPr>
          <w:rFonts w:ascii="Times New Roman" w:eastAsia="Songti TC" w:hAnsi="Times New Roman"/>
          <w:color w:val="000000"/>
          <w:sz w:val="24"/>
          <w:szCs w:val="24"/>
        </w:rPr>
        <w:t>” (the hospitable way to receive guests). For others, they follow Derrida's speculation about the story of Abraham entertaining three guests and receiving blessings (Genesis 1:1-15) and regard Abraham as the model of hospitality. It is true that Derrida starts from the biblical story, and there are several other similar uses in the Bible implicating "entertaining or receiving guests," such as “showed us generous hospitality” (Acts 28:7); “practice hospitality” (Romans 12:13) or “showing hospitality” (1 Timothy 5:10, Titus 1:8). However, whether it is attributed to the Chinese "etiquette" or the Western Bible, it is probably far from Derrida's intent. The possible way to understand the logical connection between "gift" and "given" with the help of</w:t>
      </w:r>
      <w:r w:rsidRPr="007820FE">
        <w:rPr>
          <w:rFonts w:ascii="Times New Roman" w:eastAsia="Songti TC" w:hAnsi="Times New Roman"/>
          <w:iCs/>
          <w:color w:val="000000"/>
          <w:sz w:val="24"/>
          <w:szCs w:val="24"/>
        </w:rPr>
        <w:t xml:space="preserve"> a “donor” </w:t>
      </w:r>
      <w:r w:rsidRPr="007820FE">
        <w:rPr>
          <w:rFonts w:ascii="Times New Roman" w:eastAsia="Songti TC" w:hAnsi="Times New Roman"/>
          <w:color w:val="000000"/>
          <w:sz w:val="24"/>
          <w:szCs w:val="24"/>
        </w:rPr>
        <w:t>is to read Derrida’s interpretation of Levinas.</w:t>
      </w:r>
    </w:p>
    <w:p w14:paraId="50E3A3A4" w14:textId="1420BA37"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Emmanuel Levinas insisted on “an ethics before ontology” because it is “rooted in alterity."</w:t>
      </w:r>
      <w:r w:rsidRPr="007820FE">
        <w:rPr>
          <w:rStyle w:val="Funotenzeichen"/>
          <w:rFonts w:ascii="Times New Roman" w:eastAsia="Songti TC" w:hAnsi="Times New Roman"/>
          <w:sz w:val="24"/>
          <w:szCs w:val="24"/>
        </w:rPr>
        <w:footnoteReference w:id="15"/>
      </w:r>
      <w:r w:rsidRPr="007820FE">
        <w:rPr>
          <w:rFonts w:ascii="Times New Roman" w:eastAsia="Songti TC" w:hAnsi="Times New Roman"/>
          <w:sz w:val="24"/>
          <w:szCs w:val="24"/>
        </w:rPr>
        <w:t xml:space="preserve"> This has helped Derrida to extend his discussion of "hospitality" and "hostage" in </w:t>
      </w:r>
      <w:r w:rsidRPr="007820FE">
        <w:rPr>
          <w:rFonts w:ascii="Times New Roman" w:eastAsia="Songti TC" w:hAnsi="Times New Roman"/>
          <w:i/>
          <w:sz w:val="24"/>
          <w:szCs w:val="24"/>
        </w:rPr>
        <w:t>Adieu to Emmanuel Levinas</w:t>
      </w:r>
      <w:r w:rsidRPr="007820FE">
        <w:rPr>
          <w:rFonts w:ascii="Times New Roman" w:eastAsia="Songti TC" w:hAnsi="Times New Roman"/>
          <w:sz w:val="24"/>
          <w:szCs w:val="24"/>
        </w:rPr>
        <w:t>.</w:t>
      </w:r>
      <w:r w:rsidRPr="007820FE">
        <w:rPr>
          <w:rStyle w:val="Funotenzeichen"/>
          <w:rFonts w:ascii="Times New Roman" w:eastAsia="Songti TC" w:hAnsi="Times New Roman"/>
          <w:sz w:val="24"/>
          <w:szCs w:val="24"/>
          <w:shd w:val="clear" w:color="auto" w:fill="FFFFFF"/>
        </w:rPr>
        <w:footnoteReference w:id="16"/>
      </w:r>
      <w:r w:rsidRPr="007820FE">
        <w:rPr>
          <w:rFonts w:ascii="Times New Roman" w:eastAsia="Songti TC" w:hAnsi="Times New Roman"/>
          <w:sz w:val="24"/>
          <w:szCs w:val="24"/>
        </w:rPr>
        <w:t xml:space="preserve"> According to Derrida, “hospitality” in Latin means both host and guest, and “hostage,” which means guest or outsider in Old French, is often translated in Chinese as “</w:t>
      </w:r>
      <w:proofErr w:type="spellStart"/>
      <w:r w:rsidRPr="007820FE">
        <w:rPr>
          <w:rFonts w:ascii="Times New Roman" w:eastAsia="Songti TC" w:hAnsi="Times New Roman"/>
          <w:i/>
          <w:sz w:val="24"/>
          <w:szCs w:val="24"/>
        </w:rPr>
        <w:t>renzhi</w:t>
      </w:r>
      <w:proofErr w:type="spellEnd"/>
      <w:r w:rsidRPr="007820FE">
        <w:rPr>
          <w:rFonts w:ascii="Times New Roman" w:eastAsia="Songti TC" w:hAnsi="Times New Roman"/>
          <w:sz w:val="24"/>
          <w:szCs w:val="24"/>
        </w:rPr>
        <w:t>人质</w:t>
      </w:r>
      <w:r w:rsidRPr="007820FE">
        <w:rPr>
          <w:rFonts w:ascii="Times New Roman" w:eastAsia="Songti TC" w:hAnsi="Times New Roman"/>
          <w:sz w:val="24"/>
          <w:szCs w:val="24"/>
        </w:rPr>
        <w:t>” (“people held by robbers in exchange for money”</w:t>
      </w:r>
      <w:r w:rsidRPr="007820FE">
        <w:rPr>
          <w:rFonts w:ascii="Times New Roman" w:eastAsia="Songti TC" w:hAnsi="Times New Roman"/>
          <w:sz w:val="24"/>
          <w:szCs w:val="24"/>
        </w:rPr>
        <w:t>）</w:t>
      </w:r>
      <w:r w:rsidRPr="007820FE">
        <w:rPr>
          <w:rFonts w:ascii="Times New Roman" w:eastAsia="Songti TC" w:hAnsi="Times New Roman"/>
          <w:sz w:val="24"/>
          <w:szCs w:val="24"/>
        </w:rPr>
        <w:t xml:space="preserve">. Derrida, in addition to referring back to the etymological root of the word, relates again to the syntax of "S is P": </w:t>
      </w:r>
      <w:r w:rsidRPr="007820FE">
        <w:rPr>
          <w:rFonts w:ascii="Times New Roman" w:eastAsia="Songti TC" w:hAnsi="Times New Roman"/>
          <w:sz w:val="24"/>
          <w:szCs w:val="24"/>
          <w:shd w:val="clear" w:color="auto" w:fill="FFFFFF"/>
        </w:rPr>
        <w:t>"the subject is the host" and "the subject is hostage," that is "</w:t>
      </w:r>
      <w:r w:rsidRPr="007820FE">
        <w:rPr>
          <w:rFonts w:ascii="Times New Roman" w:eastAsia="Songti TC" w:hAnsi="Times New Roman"/>
          <w:sz w:val="24"/>
          <w:szCs w:val="24"/>
        </w:rPr>
        <w:t xml:space="preserve">the </w:t>
      </w:r>
      <w:r w:rsidRPr="007820FE">
        <w:rPr>
          <w:rFonts w:ascii="Times New Roman" w:eastAsia="Songti TC" w:hAnsi="Times New Roman"/>
          <w:sz w:val="24"/>
          <w:szCs w:val="24"/>
          <w:shd w:val="clear" w:color="auto" w:fill="FFFFFF"/>
        </w:rPr>
        <w:t>two brief and explicit definitions of the subject in the form of S is P."</w:t>
      </w:r>
      <w:r w:rsidRPr="007820FE">
        <w:rPr>
          <w:rStyle w:val="Funotenzeichen"/>
          <w:rFonts w:ascii="Times New Roman" w:eastAsia="Songti TC" w:hAnsi="Times New Roman"/>
          <w:sz w:val="24"/>
          <w:szCs w:val="24"/>
          <w:shd w:val="clear" w:color="auto" w:fill="FFFFFF"/>
        </w:rPr>
        <w:footnoteReference w:id="17"/>
      </w:r>
      <w:r w:rsidRPr="007820FE">
        <w:rPr>
          <w:rFonts w:ascii="Times New Roman" w:eastAsia="Songti TC" w:hAnsi="Times New Roman"/>
          <w:sz w:val="24"/>
          <w:szCs w:val="24"/>
          <w:shd w:val="clear" w:color="auto" w:fill="FFFFFF"/>
        </w:rPr>
        <w:t xml:space="preserve">  Through the correspondence and association of hospitality and hostage, the subject-host takes on the attribute of being-hostage “in the law of the ac</w:t>
      </w:r>
      <w:r w:rsidRPr="007820FE">
        <w:rPr>
          <w:rFonts w:ascii="Times New Roman" w:eastAsia="Songti TC" w:hAnsi="Times New Roman"/>
          <w:b/>
          <w:sz w:val="24"/>
          <w:szCs w:val="24"/>
          <w:shd w:val="clear" w:color="auto" w:fill="FFFFFF"/>
        </w:rPr>
        <w:t>cu</w:t>
      </w:r>
      <w:r w:rsidRPr="007820FE">
        <w:rPr>
          <w:rFonts w:ascii="Times New Roman" w:eastAsia="Songti TC" w:hAnsi="Times New Roman"/>
          <w:sz w:val="24"/>
          <w:szCs w:val="24"/>
          <w:shd w:val="clear" w:color="auto" w:fill="FFFFFF"/>
        </w:rPr>
        <w:t>sative."</w:t>
      </w:r>
      <w:r w:rsidRPr="007820FE">
        <w:rPr>
          <w:rStyle w:val="Funotenzeichen"/>
          <w:rFonts w:ascii="Times New Roman" w:eastAsia="Songti TC" w:hAnsi="Times New Roman"/>
          <w:sz w:val="24"/>
          <w:szCs w:val="24"/>
          <w:shd w:val="clear" w:color="auto" w:fill="FFFFFF"/>
        </w:rPr>
        <w:footnoteReference w:id="18"/>
      </w:r>
      <w:r w:rsidRPr="007820FE">
        <w:rPr>
          <w:rFonts w:ascii="Times New Roman" w:eastAsia="Songti TC" w:hAnsi="Times New Roman"/>
          <w:sz w:val="24"/>
          <w:szCs w:val="24"/>
          <w:shd w:val="clear" w:color="auto" w:fill="FFFFFF"/>
        </w:rPr>
        <w:t xml:space="preserve"> This "paradoxical reverting" allows us to be "mutually" problematized within the structure of the "relationship."</w:t>
      </w:r>
    </w:p>
    <w:p w14:paraId="4809AE02" w14:textId="6786A37C" w:rsidR="008B1189" w:rsidRPr="007820FE" w:rsidRDefault="008B1189" w:rsidP="007820FE">
      <w:pPr>
        <w:spacing w:before="120" w:after="120"/>
        <w:rPr>
          <w:rFonts w:ascii="Times New Roman" w:eastAsia="Songti TC" w:hAnsi="Times New Roman"/>
          <w:sz w:val="24"/>
          <w:szCs w:val="24"/>
        </w:rPr>
      </w:pPr>
      <w:r w:rsidRPr="007820FE">
        <w:rPr>
          <w:rFonts w:ascii="Times New Roman" w:eastAsia="Songti TC" w:hAnsi="Times New Roman"/>
          <w:sz w:val="24"/>
          <w:szCs w:val="24"/>
        </w:rPr>
        <w:t xml:space="preserve">The "paradoxical reverting" of “the host as the guest” and “the subject as the object”, at least for Chinese readers, could only be understood in the mutually explanatory chain constituted by the puns of "present" and "given" as well as the "duplicity of Being." </w:t>
      </w:r>
      <w:r w:rsidRPr="007820FE">
        <w:rPr>
          <w:rFonts w:ascii="Times New Roman" w:eastAsia="Songti TC" w:hAnsi="Times New Roman"/>
          <w:sz w:val="24"/>
          <w:szCs w:val="24"/>
        </w:rPr>
        <w:lastRenderedPageBreak/>
        <w:t>The Chinese term “</w:t>
      </w:r>
      <w:r w:rsidRPr="007820FE">
        <w:rPr>
          <w:rFonts w:ascii="Times New Roman" w:eastAsia="Songti TC" w:hAnsi="Times New Roman"/>
          <w:i/>
          <w:iCs/>
          <w:sz w:val="24"/>
          <w:szCs w:val="24"/>
        </w:rPr>
        <w:t xml:space="preserve">li </w:t>
      </w:r>
      <w:proofErr w:type="spellStart"/>
      <w:r w:rsidRPr="007820FE">
        <w:rPr>
          <w:rFonts w:ascii="Times New Roman" w:eastAsia="Songti TC" w:hAnsi="Times New Roman"/>
          <w:i/>
          <w:iCs/>
          <w:sz w:val="24"/>
          <w:szCs w:val="24"/>
        </w:rPr>
        <w:t>wu</w:t>
      </w:r>
      <w:proofErr w:type="spellEnd"/>
      <w:r w:rsidRPr="007820FE">
        <w:rPr>
          <w:rFonts w:ascii="Times New Roman" w:eastAsia="Songti TC" w:hAnsi="Times New Roman"/>
          <w:sz w:val="24"/>
          <w:szCs w:val="24"/>
        </w:rPr>
        <w:t>礼物</w:t>
      </w:r>
      <w:r w:rsidRPr="007820FE">
        <w:rPr>
          <w:rFonts w:ascii="Times New Roman" w:eastAsia="Songti TC" w:hAnsi="Times New Roman"/>
          <w:sz w:val="24"/>
          <w:szCs w:val="24"/>
        </w:rPr>
        <w:t>” (gift), which consists of "ritual" and "goods," cannot convey the layers of transition of the meaning. Having said that, as far as the separate genealogy of Chinese and Western thoughts is cleared up in comparison, the "contradiction" will be turned into “contrariety” and “reciprocal illumination"</w:t>
      </w:r>
      <w:r w:rsidRPr="007820FE">
        <w:rPr>
          <w:rStyle w:val="Funotenzeichen"/>
          <w:rFonts w:ascii="Times New Roman" w:eastAsia="Songti TC" w:hAnsi="Times New Roman"/>
          <w:sz w:val="24"/>
          <w:szCs w:val="24"/>
        </w:rPr>
        <w:footnoteReference w:id="19"/>
      </w:r>
      <w:r w:rsidR="007820FE" w:rsidRPr="007820FE">
        <w:rPr>
          <w:rStyle w:val="FuzeileZchn"/>
          <w:rFonts w:ascii="Times New Roman" w:eastAsia="Songti TC" w:hAnsi="Times New Roman"/>
          <w:sz w:val="24"/>
          <w:szCs w:val="24"/>
        </w:rPr>
        <w:t>.</w:t>
      </w:r>
    </w:p>
    <w:sectPr w:rsidR="008B1189" w:rsidRPr="007820FE" w:rsidSect="007820FE">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37F65" w14:textId="77777777" w:rsidR="000174D8" w:rsidRDefault="000174D8" w:rsidP="008B1189">
      <w:r>
        <w:separator/>
      </w:r>
    </w:p>
  </w:endnote>
  <w:endnote w:type="continuationSeparator" w:id="0">
    <w:p w14:paraId="33D6F785" w14:textId="77777777" w:rsidR="000174D8" w:rsidRDefault="000174D8" w:rsidP="008B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altName w:val="微软雅黑"/>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0FAA" w14:textId="77777777" w:rsidR="000174D8" w:rsidRDefault="000174D8" w:rsidP="008B1189">
      <w:r>
        <w:separator/>
      </w:r>
    </w:p>
  </w:footnote>
  <w:footnote w:type="continuationSeparator" w:id="0">
    <w:p w14:paraId="601647BF" w14:textId="77777777" w:rsidR="000174D8" w:rsidRDefault="000174D8" w:rsidP="008B1189">
      <w:r>
        <w:continuationSeparator/>
      </w:r>
    </w:p>
  </w:footnote>
  <w:footnote w:id="1">
    <w:p w14:paraId="752A23A4" w14:textId="77777777" w:rsidR="008B1189" w:rsidRPr="007820FE" w:rsidRDefault="008B1189" w:rsidP="007820FE">
      <w:pPr>
        <w:pStyle w:val="Funotentext"/>
        <w:jc w:val="both"/>
      </w:pPr>
      <w:r w:rsidRPr="007820FE">
        <w:rPr>
          <w:rStyle w:val="Funotenzeichen"/>
        </w:rPr>
        <w:footnoteRef/>
      </w:r>
      <w:r w:rsidRPr="007820FE">
        <w:t xml:space="preserve"> </w:t>
      </w:r>
      <w:r w:rsidRPr="007820FE">
        <w:rPr>
          <w:rFonts w:hint="eastAsia"/>
        </w:rPr>
        <w:t>Joh</w:t>
      </w:r>
      <w:r w:rsidRPr="007820FE">
        <w:t xml:space="preserve">n </w:t>
      </w:r>
      <w:proofErr w:type="spellStart"/>
      <w:r w:rsidRPr="007820FE">
        <w:t>Knoblock</w:t>
      </w:r>
      <w:proofErr w:type="spellEnd"/>
      <w:r w:rsidRPr="007820FE">
        <w:t>, trans., Xunzi: A Translation and Study of the Complete Works, Vol. III (Stanford, CA: Stanford University Press, 1994), 55.</w:t>
      </w:r>
    </w:p>
  </w:footnote>
  <w:footnote w:id="2">
    <w:p w14:paraId="6CA64648" w14:textId="1164A193" w:rsidR="008B1189" w:rsidRPr="007820FE" w:rsidRDefault="008B1189" w:rsidP="007820FE">
      <w:pPr>
        <w:pStyle w:val="Funotentext"/>
        <w:jc w:val="both"/>
      </w:pPr>
      <w:r w:rsidRPr="007820FE">
        <w:rPr>
          <w:rStyle w:val="Funotenzeichen"/>
        </w:rPr>
        <w:footnoteRef/>
      </w:r>
      <w:r w:rsidRPr="007820FE">
        <w:t xml:space="preserve">  </w:t>
      </w:r>
      <w:r w:rsidRPr="007820FE">
        <w:t>“</w:t>
      </w:r>
      <w:r w:rsidRPr="007820FE">
        <w:rPr>
          <w:rFonts w:hint="eastAsia"/>
        </w:rPr>
        <w:t>崇其庞章，备其礼物</w:t>
      </w:r>
      <w:r w:rsidRPr="007820FE">
        <w:rPr>
          <w:rFonts w:hint="eastAsia"/>
        </w:rPr>
        <w:t>.</w:t>
      </w:r>
      <w:r w:rsidRPr="007820FE">
        <w:t xml:space="preserve">” </w:t>
      </w:r>
      <w:r w:rsidRPr="007820FE">
        <w:rPr>
          <w:rFonts w:hint="eastAsia"/>
        </w:rPr>
        <w:t>Pan</w:t>
      </w:r>
      <w:r w:rsidRPr="007820FE">
        <w:t xml:space="preserve"> </w:t>
      </w:r>
      <w:r w:rsidRPr="007820FE">
        <w:rPr>
          <w:rFonts w:hint="eastAsia"/>
        </w:rPr>
        <w:t>Xu,</w:t>
      </w:r>
      <w:r w:rsidRPr="007820FE">
        <w:t xml:space="preserve"> “Ce </w:t>
      </w:r>
      <w:proofErr w:type="spellStart"/>
      <w:r w:rsidRPr="007820FE">
        <w:t>wei</w:t>
      </w:r>
      <w:proofErr w:type="spellEnd"/>
      <w:r w:rsidRPr="007820FE">
        <w:t xml:space="preserve"> gong jiu xi wen” (</w:t>
      </w:r>
      <w:r w:rsidRPr="007820FE">
        <w:rPr>
          <w:rFonts w:hint="eastAsia"/>
        </w:rPr>
        <w:t>册魏公九锡文</w:t>
      </w:r>
      <w:r w:rsidRPr="007820FE">
        <w:rPr>
          <w:rFonts w:hint="eastAsia"/>
        </w:rPr>
        <w:t>)</w:t>
      </w:r>
      <w:r w:rsidRPr="007820FE">
        <w:t xml:space="preserve">, in </w:t>
      </w:r>
      <w:proofErr w:type="spellStart"/>
      <w:r w:rsidRPr="007820FE">
        <w:t>Wenxuan</w:t>
      </w:r>
      <w:proofErr w:type="spellEnd"/>
      <w:r w:rsidRPr="007820FE">
        <w:t>, ed. Xiao Tong, vol. 35.</w:t>
      </w:r>
    </w:p>
  </w:footnote>
  <w:footnote w:id="3">
    <w:p w14:paraId="41E3342A" w14:textId="77777777" w:rsidR="008B1189" w:rsidRPr="007820FE" w:rsidRDefault="008B1189" w:rsidP="007820FE">
      <w:pPr>
        <w:pStyle w:val="Funotentext"/>
        <w:jc w:val="both"/>
      </w:pPr>
      <w:r w:rsidRPr="007820FE">
        <w:rPr>
          <w:rStyle w:val="Funotenzeichen"/>
        </w:rPr>
        <w:footnoteRef/>
      </w:r>
      <w:r w:rsidRPr="007820FE">
        <w:t xml:space="preserve"> See “Lu Na </w:t>
      </w:r>
      <w:proofErr w:type="spellStart"/>
      <w:r w:rsidRPr="007820FE">
        <w:rPr>
          <w:rFonts w:hint="eastAsia"/>
        </w:rPr>
        <w:t>zh</w:t>
      </w:r>
      <w:r w:rsidRPr="007820FE">
        <w:t>uan</w:t>
      </w:r>
      <w:proofErr w:type="spellEnd"/>
      <w:r w:rsidRPr="007820FE">
        <w:t xml:space="preserve"> (Biography of Lu Na),” in </w:t>
      </w:r>
      <w:proofErr w:type="spellStart"/>
      <w:r w:rsidRPr="007820FE">
        <w:t>Jin</w:t>
      </w:r>
      <w:proofErr w:type="spellEnd"/>
      <w:r w:rsidRPr="007820FE">
        <w:t xml:space="preserve"> </w:t>
      </w:r>
      <w:proofErr w:type="spellStart"/>
      <w:r w:rsidRPr="007820FE">
        <w:t>shu</w:t>
      </w:r>
      <w:proofErr w:type="spellEnd"/>
      <w:r w:rsidRPr="007820FE">
        <w:t xml:space="preserve"> (</w:t>
      </w:r>
      <w:r w:rsidRPr="007820FE">
        <w:rPr>
          <w:rFonts w:hint="eastAsia"/>
        </w:rPr>
        <w:t>Boo</w:t>
      </w:r>
      <w:r w:rsidRPr="007820FE">
        <w:t xml:space="preserve">k of </w:t>
      </w:r>
      <w:proofErr w:type="spellStart"/>
      <w:r w:rsidRPr="007820FE">
        <w:t>Jin</w:t>
      </w:r>
      <w:proofErr w:type="spellEnd"/>
      <w:r w:rsidRPr="007820FE">
        <w:t>).</w:t>
      </w:r>
    </w:p>
  </w:footnote>
  <w:footnote w:id="4">
    <w:p w14:paraId="4454FA69" w14:textId="77777777" w:rsidR="008B1189" w:rsidRPr="007820FE" w:rsidRDefault="008B1189" w:rsidP="007820FE">
      <w:pPr>
        <w:pStyle w:val="Funotentext"/>
        <w:jc w:val="both"/>
      </w:pPr>
      <w:r w:rsidRPr="007820FE">
        <w:rPr>
          <w:rStyle w:val="Funotenzeichen"/>
        </w:rPr>
        <w:footnoteRef/>
      </w:r>
      <w:r w:rsidRPr="007820FE">
        <w:t xml:space="preserve"> David </w:t>
      </w:r>
      <w:proofErr w:type="spellStart"/>
      <w:r w:rsidRPr="007820FE">
        <w:t>Furley</w:t>
      </w:r>
      <w:proofErr w:type="spellEnd"/>
      <w:r w:rsidRPr="007820FE">
        <w:rPr>
          <w:rFonts w:hint="eastAsia"/>
        </w:rPr>
        <w:t>,</w:t>
      </w:r>
      <w:r w:rsidRPr="007820FE">
        <w:t xml:space="preserve"> ed., </w:t>
      </w:r>
      <w:r w:rsidRPr="007820FE">
        <w:rPr>
          <w:rFonts w:hint="eastAsia"/>
        </w:rPr>
        <w:t>Routledge History of P</w:t>
      </w:r>
      <w:r w:rsidRPr="007820FE">
        <w:t>hilosophy, Volume II, From Aristotle to Augustine (London: Routledge, 1999)</w:t>
      </w:r>
      <w:r w:rsidRPr="007820FE">
        <w:rPr>
          <w:rFonts w:hint="eastAsia"/>
        </w:rPr>
        <w:t>,</w:t>
      </w:r>
      <w:r w:rsidRPr="007820FE">
        <w:t xml:space="preserve"> 366.</w:t>
      </w:r>
    </w:p>
  </w:footnote>
  <w:footnote w:id="5">
    <w:p w14:paraId="0B176F1B" w14:textId="77777777" w:rsidR="008B1189" w:rsidRPr="007820FE" w:rsidRDefault="008B1189" w:rsidP="007820FE">
      <w:pPr>
        <w:pStyle w:val="Funotentext"/>
        <w:ind w:left="270" w:hangingChars="150" w:hanging="270"/>
        <w:jc w:val="both"/>
      </w:pPr>
      <w:r w:rsidRPr="007820FE">
        <w:rPr>
          <w:rStyle w:val="Funotenzeichen"/>
        </w:rPr>
        <w:footnoteRef/>
      </w:r>
      <w:r w:rsidRPr="007820FE">
        <w:rPr>
          <w:rFonts w:hint="eastAsia"/>
        </w:rPr>
        <w:t xml:space="preserve"> </w:t>
      </w:r>
      <w:r w:rsidRPr="007820FE">
        <w:t xml:space="preserve">David </w:t>
      </w:r>
      <w:proofErr w:type="spellStart"/>
      <w:r w:rsidRPr="007820FE">
        <w:t>Furley</w:t>
      </w:r>
      <w:proofErr w:type="spellEnd"/>
      <w:r w:rsidRPr="007820FE">
        <w:rPr>
          <w:rFonts w:hint="eastAsia"/>
        </w:rPr>
        <w:t>,</w:t>
      </w:r>
      <w:r w:rsidRPr="007820FE">
        <w:t xml:space="preserve"> ed., </w:t>
      </w:r>
      <w:r w:rsidRPr="007820FE">
        <w:rPr>
          <w:rFonts w:hint="eastAsia"/>
        </w:rPr>
        <w:t>Routledge History of P</w:t>
      </w:r>
      <w:r w:rsidRPr="007820FE">
        <w:t>hilosophy, Volume II, From Aristotle to Augustine, trans. Feng Jun, et al. (Beijing: Renmin University of China Press, 2004), 429.</w:t>
      </w:r>
    </w:p>
  </w:footnote>
  <w:footnote w:id="6">
    <w:p w14:paraId="1D0E13EF" w14:textId="77777777" w:rsidR="008B1189" w:rsidRPr="007820FE" w:rsidRDefault="008B1189" w:rsidP="007820FE">
      <w:pPr>
        <w:pStyle w:val="Funotentext"/>
        <w:jc w:val="both"/>
      </w:pPr>
      <w:r w:rsidRPr="007820FE">
        <w:rPr>
          <w:rStyle w:val="Funotenzeichen"/>
        </w:rPr>
        <w:footnoteRef/>
      </w:r>
      <w:r w:rsidRPr="007820FE">
        <w:t xml:space="preserve"> </w:t>
      </w:r>
      <w:r w:rsidRPr="007820FE">
        <w:rPr>
          <w:szCs w:val="21"/>
        </w:rPr>
        <w:t>A. C. Graham, “‘Being’ in Western Philosophy Compared with Shih/Fei</w:t>
      </w:r>
      <w:r w:rsidRPr="007820FE">
        <w:rPr>
          <w:rFonts w:hint="eastAsia"/>
          <w:szCs w:val="21"/>
        </w:rPr>
        <w:t>是非</w:t>
      </w:r>
      <w:r w:rsidRPr="007820FE">
        <w:rPr>
          <w:szCs w:val="21"/>
        </w:rPr>
        <w:t xml:space="preserve"> and Y</w:t>
      </w:r>
      <w:r w:rsidRPr="007820FE">
        <w:rPr>
          <w:rFonts w:hint="eastAsia"/>
          <w:szCs w:val="21"/>
        </w:rPr>
        <w:t>u</w:t>
      </w:r>
      <w:r w:rsidRPr="007820FE">
        <w:rPr>
          <w:szCs w:val="21"/>
        </w:rPr>
        <w:t>/Wu</w:t>
      </w:r>
      <w:r w:rsidRPr="007820FE">
        <w:rPr>
          <w:rFonts w:hint="eastAsia"/>
          <w:szCs w:val="21"/>
        </w:rPr>
        <w:t>有</w:t>
      </w:r>
      <w:r w:rsidRPr="007820FE">
        <w:rPr>
          <w:rFonts w:hint="eastAsia"/>
          <w:szCs w:val="21"/>
        </w:rPr>
        <w:t>/</w:t>
      </w:r>
      <w:r w:rsidRPr="007820FE">
        <w:rPr>
          <w:rFonts w:hint="eastAsia"/>
          <w:szCs w:val="21"/>
        </w:rPr>
        <w:t>无</w:t>
      </w:r>
      <w:r w:rsidRPr="007820FE">
        <w:rPr>
          <w:szCs w:val="21"/>
        </w:rPr>
        <w:t xml:space="preserve"> in Chinese Philosophy,” </w:t>
      </w:r>
      <w:r w:rsidRPr="007820FE">
        <w:rPr>
          <w:rFonts w:hint="eastAsia"/>
          <w:szCs w:val="21"/>
        </w:rPr>
        <w:t>in</w:t>
      </w:r>
      <w:r w:rsidRPr="007820FE">
        <w:rPr>
          <w:szCs w:val="21"/>
        </w:rPr>
        <w:t xml:space="preserve"> Studies in Chinese Philosophy and Literature (Singapore: The Institute of East Asian Philosophies, 1986), 322-359, esp. 354-355.</w:t>
      </w:r>
    </w:p>
  </w:footnote>
  <w:footnote w:id="7">
    <w:p w14:paraId="401F8959" w14:textId="77777777" w:rsidR="008B1189" w:rsidRPr="007820FE" w:rsidRDefault="008B1189" w:rsidP="007820FE">
      <w:pPr>
        <w:pStyle w:val="Funotentext"/>
        <w:jc w:val="both"/>
      </w:pPr>
      <w:r w:rsidRPr="007820FE">
        <w:rPr>
          <w:rStyle w:val="Funotenzeichen"/>
        </w:rPr>
        <w:footnoteRef/>
      </w:r>
      <w:r w:rsidRPr="007820FE">
        <w:t xml:space="preserve"> Ibid., 354.</w:t>
      </w:r>
    </w:p>
  </w:footnote>
  <w:footnote w:id="8">
    <w:p w14:paraId="14E4E6CA" w14:textId="77777777" w:rsidR="008B1189" w:rsidRPr="007820FE" w:rsidRDefault="008B1189" w:rsidP="007820FE">
      <w:pPr>
        <w:pStyle w:val="Funotentext"/>
        <w:jc w:val="both"/>
      </w:pPr>
      <w:r w:rsidRPr="007820FE">
        <w:rPr>
          <w:rStyle w:val="Funotenzeichen"/>
        </w:rPr>
        <w:footnoteRef/>
      </w:r>
      <w:r w:rsidRPr="007820FE">
        <w:t xml:space="preserve"> Quoted in Santiago </w:t>
      </w:r>
      <w:proofErr w:type="spellStart"/>
      <w:r w:rsidRPr="007820FE">
        <w:t>Zabala</w:t>
      </w:r>
      <w:proofErr w:type="spellEnd"/>
      <w:r w:rsidRPr="007820FE">
        <w:t>, Being at Large: Freedom in the Age of Alternative Facts (Montreal: McGill-Queen's University Press, 2020)</w:t>
      </w:r>
      <w:r w:rsidRPr="007820FE">
        <w:rPr>
          <w:rFonts w:hint="eastAsia"/>
        </w:rPr>
        <w:t xml:space="preserve">, </w:t>
      </w:r>
      <w:r w:rsidRPr="007820FE">
        <w:t>50-51</w:t>
      </w:r>
      <w:r w:rsidRPr="007820FE">
        <w:rPr>
          <w:rFonts w:hint="eastAsia"/>
        </w:rPr>
        <w:t>.</w:t>
      </w:r>
    </w:p>
  </w:footnote>
  <w:footnote w:id="9">
    <w:p w14:paraId="2C76837D" w14:textId="77777777" w:rsidR="008B1189" w:rsidRPr="007820FE" w:rsidRDefault="008B1189" w:rsidP="007820FE">
      <w:pPr>
        <w:pStyle w:val="Funotentext"/>
        <w:jc w:val="both"/>
      </w:pPr>
      <w:r w:rsidRPr="007820FE">
        <w:rPr>
          <w:rStyle w:val="Funotenzeichen"/>
        </w:rPr>
        <w:footnoteRef/>
      </w:r>
      <w:r w:rsidRPr="007820FE">
        <w:t xml:space="preserve"> </w:t>
      </w:r>
      <w:r w:rsidRPr="007820FE">
        <w:rPr>
          <w:szCs w:val="21"/>
        </w:rPr>
        <w:t>A. C. Graham, “‘Being’ in Western Philosophy Compared with Shih/Fei</w:t>
      </w:r>
      <w:r w:rsidRPr="007820FE">
        <w:rPr>
          <w:rFonts w:hint="eastAsia"/>
          <w:szCs w:val="21"/>
        </w:rPr>
        <w:t>是非</w:t>
      </w:r>
      <w:r w:rsidRPr="007820FE">
        <w:rPr>
          <w:szCs w:val="21"/>
        </w:rPr>
        <w:t xml:space="preserve"> and Y</w:t>
      </w:r>
      <w:r w:rsidRPr="007820FE">
        <w:rPr>
          <w:rFonts w:hint="eastAsia"/>
          <w:szCs w:val="21"/>
        </w:rPr>
        <w:t>u</w:t>
      </w:r>
      <w:r w:rsidRPr="007820FE">
        <w:rPr>
          <w:szCs w:val="21"/>
        </w:rPr>
        <w:t>/Wu</w:t>
      </w:r>
      <w:r w:rsidRPr="007820FE">
        <w:rPr>
          <w:rFonts w:hint="eastAsia"/>
          <w:szCs w:val="21"/>
        </w:rPr>
        <w:t>有</w:t>
      </w:r>
      <w:r w:rsidRPr="007820FE">
        <w:rPr>
          <w:rFonts w:hint="eastAsia"/>
          <w:szCs w:val="21"/>
        </w:rPr>
        <w:t>/</w:t>
      </w:r>
      <w:r w:rsidRPr="007820FE">
        <w:rPr>
          <w:rFonts w:hint="eastAsia"/>
          <w:szCs w:val="21"/>
        </w:rPr>
        <w:t>无</w:t>
      </w:r>
      <w:r w:rsidRPr="007820FE">
        <w:rPr>
          <w:szCs w:val="21"/>
        </w:rPr>
        <w:t xml:space="preserve"> in Chinese Philosophy,” 356-357.</w:t>
      </w:r>
    </w:p>
  </w:footnote>
  <w:footnote w:id="10">
    <w:p w14:paraId="599F1D6A" w14:textId="77777777" w:rsidR="008B1189" w:rsidRPr="007820FE" w:rsidRDefault="008B1189" w:rsidP="007820FE">
      <w:pPr>
        <w:pStyle w:val="Funotentext"/>
        <w:jc w:val="both"/>
      </w:pPr>
      <w:r w:rsidRPr="007820FE">
        <w:rPr>
          <w:rStyle w:val="Funotenzeichen"/>
        </w:rPr>
        <w:footnoteRef/>
      </w:r>
      <w:r w:rsidRPr="007820FE">
        <w:t xml:space="preserve"> Jacques </w:t>
      </w:r>
      <w:proofErr w:type="spellStart"/>
      <w:r w:rsidRPr="007820FE">
        <w:t>Taminiaux</w:t>
      </w:r>
      <w:proofErr w:type="spellEnd"/>
      <w:r w:rsidRPr="007820FE">
        <w:t>, “Philosophy of Existence 1: Heidegger,” in Richard Kearney, ed.,</w:t>
      </w:r>
      <w:r w:rsidRPr="007820FE">
        <w:rPr>
          <w:rFonts w:hint="eastAsia"/>
        </w:rPr>
        <w:t xml:space="preserve"> Routledge History of P</w:t>
      </w:r>
      <w:r w:rsidRPr="007820FE">
        <w:t>hilosophy, Volume VIII, Continental Philosophy in the 20</w:t>
      </w:r>
      <w:r w:rsidRPr="007820FE">
        <w:rPr>
          <w:vertAlign w:val="superscript"/>
        </w:rPr>
        <w:t>th</w:t>
      </w:r>
      <w:r w:rsidRPr="007820FE">
        <w:t xml:space="preserve"> Century (London: Routledge, 1994)</w:t>
      </w:r>
      <w:r w:rsidRPr="007820FE">
        <w:rPr>
          <w:rFonts w:hint="eastAsia"/>
        </w:rPr>
        <w:t>,</w:t>
      </w:r>
      <w:r w:rsidRPr="007820FE">
        <w:t xml:space="preserve"> 67-68. </w:t>
      </w:r>
    </w:p>
  </w:footnote>
  <w:footnote w:id="11">
    <w:p w14:paraId="48383E87" w14:textId="77777777" w:rsidR="008B1189" w:rsidRPr="007820FE" w:rsidRDefault="008B1189" w:rsidP="007820FE">
      <w:pPr>
        <w:pStyle w:val="Funotentext"/>
        <w:jc w:val="both"/>
      </w:pPr>
      <w:r w:rsidRPr="007820FE">
        <w:rPr>
          <w:rStyle w:val="Funotenzeichen"/>
        </w:rPr>
        <w:footnoteRef/>
      </w:r>
      <w:r w:rsidRPr="007820FE">
        <w:t xml:space="preserve"> Ibid.</w:t>
      </w:r>
    </w:p>
  </w:footnote>
  <w:footnote w:id="12">
    <w:p w14:paraId="30C3A4C6" w14:textId="77777777" w:rsidR="008B1189" w:rsidRPr="007820FE" w:rsidRDefault="008B1189" w:rsidP="007820FE">
      <w:pPr>
        <w:pStyle w:val="Funotentext"/>
        <w:ind w:left="90" w:hangingChars="50" w:hanging="90"/>
        <w:jc w:val="both"/>
      </w:pPr>
      <w:r w:rsidRPr="007820FE">
        <w:rPr>
          <w:rStyle w:val="Funotenzeichen"/>
        </w:rPr>
        <w:footnoteRef/>
      </w:r>
      <w:r w:rsidRPr="007820FE">
        <w:rPr>
          <w:rFonts w:hint="eastAsia"/>
        </w:rPr>
        <w:t xml:space="preserve"> </w:t>
      </w:r>
      <w:r w:rsidRPr="007820FE">
        <w:t xml:space="preserve">See Wang Li, et al, eds., Gu </w:t>
      </w:r>
      <w:proofErr w:type="spellStart"/>
      <w:r w:rsidRPr="007820FE">
        <w:t>han</w:t>
      </w:r>
      <w:proofErr w:type="spellEnd"/>
      <w:r w:rsidRPr="007820FE">
        <w:t xml:space="preserve"> </w:t>
      </w:r>
      <w:proofErr w:type="spellStart"/>
      <w:r w:rsidRPr="007820FE">
        <w:t>yu</w:t>
      </w:r>
      <w:proofErr w:type="spellEnd"/>
      <w:r w:rsidRPr="007820FE">
        <w:t xml:space="preserve"> </w:t>
      </w:r>
      <w:proofErr w:type="spellStart"/>
      <w:r w:rsidRPr="007820FE">
        <w:t>chang</w:t>
      </w:r>
      <w:proofErr w:type="spellEnd"/>
      <w:r w:rsidRPr="007820FE">
        <w:t xml:space="preserve"> </w:t>
      </w:r>
      <w:proofErr w:type="spellStart"/>
      <w:r w:rsidRPr="007820FE">
        <w:t>yong</w:t>
      </w:r>
      <w:proofErr w:type="spellEnd"/>
      <w:r w:rsidRPr="007820FE">
        <w:t xml:space="preserve"> zi </w:t>
      </w:r>
      <w:proofErr w:type="spellStart"/>
      <w:r w:rsidRPr="007820FE">
        <w:t>zi</w:t>
      </w:r>
      <w:proofErr w:type="spellEnd"/>
      <w:r w:rsidRPr="007820FE">
        <w:t xml:space="preserve"> </w:t>
      </w:r>
      <w:proofErr w:type="spellStart"/>
      <w:r w:rsidRPr="007820FE">
        <w:t>dian</w:t>
      </w:r>
      <w:proofErr w:type="spellEnd"/>
      <w:r w:rsidRPr="007820FE">
        <w:t xml:space="preserve"> (A </w:t>
      </w:r>
      <w:r w:rsidRPr="007820FE">
        <w:rPr>
          <w:rFonts w:hint="eastAsia"/>
        </w:rPr>
        <w:t>D</w:t>
      </w:r>
      <w:r w:rsidRPr="007820FE">
        <w:t xml:space="preserve">ictionary of </w:t>
      </w:r>
      <w:r w:rsidRPr="007820FE">
        <w:rPr>
          <w:rFonts w:hint="eastAsia"/>
        </w:rPr>
        <w:t>C</w:t>
      </w:r>
      <w:r w:rsidRPr="007820FE">
        <w:t xml:space="preserve">ommon </w:t>
      </w:r>
      <w:r w:rsidRPr="007820FE">
        <w:rPr>
          <w:rFonts w:hint="eastAsia"/>
        </w:rPr>
        <w:t>W</w:t>
      </w:r>
      <w:r w:rsidRPr="007820FE">
        <w:t xml:space="preserve">ords in </w:t>
      </w:r>
      <w:r w:rsidRPr="007820FE">
        <w:rPr>
          <w:rFonts w:hint="eastAsia"/>
        </w:rPr>
        <w:t>A</w:t>
      </w:r>
      <w:r w:rsidRPr="007820FE">
        <w:t>ncient Chinese</w:t>
      </w:r>
      <w:r w:rsidRPr="007820FE">
        <w:rPr>
          <w:rFonts w:hint="eastAsia"/>
        </w:rPr>
        <w:t>)</w:t>
      </w:r>
      <w:r w:rsidRPr="007820FE">
        <w:t xml:space="preserve"> (Beijing: The Commercial Press, 1979), </w:t>
      </w:r>
      <w:r w:rsidRPr="007820FE">
        <w:rPr>
          <w:rFonts w:hint="eastAsia"/>
        </w:rPr>
        <w:t>316</w:t>
      </w:r>
      <w:r w:rsidRPr="007820FE">
        <w:t xml:space="preserve">, </w:t>
      </w:r>
      <w:r w:rsidRPr="007820FE">
        <w:rPr>
          <w:rFonts w:hint="eastAsia"/>
        </w:rPr>
        <w:t>290</w:t>
      </w:r>
      <w:r w:rsidRPr="007820FE">
        <w:t xml:space="preserve">, </w:t>
      </w:r>
      <w:r w:rsidRPr="007820FE">
        <w:rPr>
          <w:rFonts w:hint="eastAsia"/>
        </w:rPr>
        <w:t>147</w:t>
      </w:r>
      <w:r w:rsidRPr="007820FE">
        <w:t>.</w:t>
      </w:r>
    </w:p>
  </w:footnote>
  <w:footnote w:id="13">
    <w:p w14:paraId="5C9510B3" w14:textId="77777777" w:rsidR="008B1189" w:rsidRPr="007820FE" w:rsidRDefault="008B1189" w:rsidP="007820FE">
      <w:pPr>
        <w:pStyle w:val="Funotentext"/>
        <w:jc w:val="both"/>
      </w:pPr>
      <w:r w:rsidRPr="007820FE">
        <w:rPr>
          <w:rStyle w:val="Funotenzeichen"/>
        </w:rPr>
        <w:footnoteRef/>
      </w:r>
      <w:r w:rsidRPr="007820FE">
        <w:t xml:space="preserve"> David Wills, “Translator’s Preface,” in Jacques Derrida, The Gift of Death, trans. David Wills (Chicago: The University of Chicago Press, 1995, vii.</w:t>
      </w:r>
    </w:p>
  </w:footnote>
  <w:footnote w:id="14">
    <w:p w14:paraId="5DAE9BE3" w14:textId="77777777" w:rsidR="008B1189" w:rsidRPr="007820FE" w:rsidRDefault="008B1189" w:rsidP="007820FE">
      <w:pPr>
        <w:pStyle w:val="Funotentext"/>
        <w:jc w:val="both"/>
      </w:pPr>
      <w:r w:rsidRPr="007820FE">
        <w:rPr>
          <w:rStyle w:val="Funotenzeichen"/>
        </w:rPr>
        <w:footnoteRef/>
      </w:r>
      <w:r w:rsidRPr="007820FE">
        <w:t xml:space="preserve"> </w:t>
      </w:r>
      <w:proofErr w:type="spellStart"/>
      <w:r w:rsidRPr="007820FE">
        <w:rPr>
          <w:color w:val="000000"/>
        </w:rPr>
        <w:t>Gerasimos</w:t>
      </w:r>
      <w:proofErr w:type="spellEnd"/>
      <w:r w:rsidRPr="007820FE">
        <w:rPr>
          <w:color w:val="000000"/>
        </w:rPr>
        <w:t xml:space="preserve"> </w:t>
      </w:r>
      <w:proofErr w:type="spellStart"/>
      <w:r w:rsidRPr="007820FE">
        <w:rPr>
          <w:color w:val="000000"/>
        </w:rPr>
        <w:t>Kakoliris</w:t>
      </w:r>
      <w:proofErr w:type="spellEnd"/>
      <w:r w:rsidRPr="007820FE">
        <w:rPr>
          <w:color w:val="000000"/>
        </w:rPr>
        <w:t xml:space="preserve"> “Jacques Derrida on the Ethics of Hospitality,” in Elvis </w:t>
      </w:r>
      <w:proofErr w:type="spellStart"/>
      <w:r w:rsidRPr="007820FE">
        <w:rPr>
          <w:color w:val="000000"/>
        </w:rPr>
        <w:t>Imafidon</w:t>
      </w:r>
      <w:proofErr w:type="spellEnd"/>
      <w:r w:rsidRPr="007820FE">
        <w:rPr>
          <w:color w:val="000000"/>
        </w:rPr>
        <w:t>, ed., The Ethics of Subjectivity, Perspectives since the Dawn of Modernity (New York: Palgrave Macmillan, 2015), 145.</w:t>
      </w:r>
    </w:p>
  </w:footnote>
  <w:footnote w:id="15">
    <w:p w14:paraId="0E9F2CC8" w14:textId="77777777" w:rsidR="008B1189" w:rsidRPr="007820FE" w:rsidRDefault="008B1189" w:rsidP="007820FE">
      <w:pPr>
        <w:pStyle w:val="Funotentext"/>
        <w:jc w:val="both"/>
      </w:pPr>
      <w:r w:rsidRPr="007820FE">
        <w:rPr>
          <w:rStyle w:val="Funotenzeichen"/>
        </w:rPr>
        <w:footnoteRef/>
      </w:r>
      <w:r w:rsidRPr="007820FE">
        <w:t xml:space="preserve"> </w:t>
      </w:r>
      <w:r w:rsidRPr="007820FE">
        <w:rPr>
          <w:szCs w:val="21"/>
        </w:rPr>
        <w:t>Walter Brogan and James Risser, “Introduction,” in Walter Brogan &amp; James Risser, eds., American Continental Philosophy: A Reader (Bloomington and Indianapolis: Indiana University Press, 2000), 4.</w:t>
      </w:r>
    </w:p>
  </w:footnote>
  <w:footnote w:id="16">
    <w:p w14:paraId="0B85BBEB" w14:textId="77777777" w:rsidR="008B1189" w:rsidRPr="007820FE" w:rsidRDefault="008B1189" w:rsidP="007820FE">
      <w:pPr>
        <w:pStyle w:val="Funotentext"/>
        <w:jc w:val="both"/>
      </w:pPr>
      <w:r w:rsidRPr="007820FE">
        <w:rPr>
          <w:rStyle w:val="Funotenzeichen"/>
        </w:rPr>
        <w:footnoteRef/>
      </w:r>
      <w:r w:rsidRPr="007820FE">
        <w:rPr>
          <w:lang w:val="fr-FR"/>
        </w:rPr>
        <w:t xml:space="preserve"> Jacques Derrida, Adieu to Emmanuel Levinas, trans. </w:t>
      </w:r>
      <w:r w:rsidRPr="007820FE">
        <w:t>Pascale-Anne Brault and Michael Naas (Stanford: Stanford University Press, 1999), 63.</w:t>
      </w:r>
    </w:p>
  </w:footnote>
  <w:footnote w:id="17">
    <w:p w14:paraId="2486CFE2" w14:textId="77777777" w:rsidR="008B1189" w:rsidRPr="007820FE" w:rsidRDefault="008B1189" w:rsidP="007820FE">
      <w:pPr>
        <w:pStyle w:val="Funotentext"/>
        <w:jc w:val="both"/>
      </w:pPr>
      <w:r w:rsidRPr="007820FE">
        <w:rPr>
          <w:rStyle w:val="Funotenzeichen"/>
        </w:rPr>
        <w:footnoteRef/>
      </w:r>
      <w:r w:rsidRPr="007820FE">
        <w:t xml:space="preserve"> Ibid., 63.</w:t>
      </w:r>
    </w:p>
  </w:footnote>
  <w:footnote w:id="18">
    <w:p w14:paraId="62E1DCB4" w14:textId="77777777" w:rsidR="008B1189" w:rsidRPr="007820FE" w:rsidRDefault="008B1189" w:rsidP="007820FE">
      <w:pPr>
        <w:pStyle w:val="Funotentext"/>
        <w:jc w:val="both"/>
      </w:pPr>
      <w:r w:rsidRPr="007820FE">
        <w:rPr>
          <w:rStyle w:val="Funotenzeichen"/>
        </w:rPr>
        <w:footnoteRef/>
      </w:r>
      <w:r w:rsidRPr="007820FE">
        <w:t xml:space="preserve"> Ibid., 58.</w:t>
      </w:r>
    </w:p>
  </w:footnote>
  <w:footnote w:id="19">
    <w:p w14:paraId="0DDCC9CC" w14:textId="1070CDF4" w:rsidR="008B1189" w:rsidRPr="007820FE" w:rsidRDefault="008B1189" w:rsidP="007820FE">
      <w:pPr>
        <w:pStyle w:val="Funotentext"/>
        <w:jc w:val="both"/>
      </w:pPr>
      <w:r w:rsidRPr="007820FE">
        <w:rPr>
          <w:rStyle w:val="Funotenzeichen"/>
          <w:rFonts w:eastAsia="PMingLiU"/>
        </w:rPr>
        <w:footnoteRef/>
      </w:r>
      <w:r w:rsidRPr="007820FE">
        <w:rPr>
          <w:rFonts w:hint="eastAsia"/>
        </w:rPr>
        <w:t xml:space="preserve"> </w:t>
      </w:r>
      <w:r w:rsidRPr="007820FE">
        <w:t xml:space="preserve">Arvind Sharma, Religious </w:t>
      </w:r>
      <w:proofErr w:type="gramStart"/>
      <w:r w:rsidRPr="007820FE">
        <w:t>Studies</w:t>
      </w:r>
      <w:proofErr w:type="gramEnd"/>
      <w:r w:rsidRPr="007820FE">
        <w:t xml:space="preserve"> and Comparative Methodology: The Case for Reciprocal Illumination (Albany: State University of New York Press, 2005).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89"/>
    <w:rsid w:val="000174D8"/>
    <w:rsid w:val="00123CCD"/>
    <w:rsid w:val="0016380B"/>
    <w:rsid w:val="00522780"/>
    <w:rsid w:val="006B4E66"/>
    <w:rsid w:val="007820FE"/>
    <w:rsid w:val="008B1189"/>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C153B78"/>
  <w15:chartTrackingRefBased/>
  <w15:docId w15:val="{7503F9B1-22DE-474F-9E4E-72412F12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1189"/>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1189"/>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8B1189"/>
    <w:rPr>
      <w:rFonts w:ascii="Calibri" w:eastAsia="SimSun" w:hAnsi="Calibri" w:cs="Times New Roman"/>
      <w:kern w:val="2"/>
      <w:sz w:val="18"/>
      <w:szCs w:val="18"/>
      <w:lang w:val="en-US"/>
    </w:rPr>
  </w:style>
  <w:style w:type="paragraph" w:styleId="Fuzeile">
    <w:name w:val="footer"/>
    <w:basedOn w:val="Standard"/>
    <w:link w:val="FuzeileZchn"/>
    <w:uiPriority w:val="99"/>
    <w:unhideWhenUsed/>
    <w:rsid w:val="008B1189"/>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8B1189"/>
    <w:rPr>
      <w:rFonts w:ascii="Calibri" w:eastAsia="SimSun" w:hAnsi="Calibri" w:cs="Times New Roman"/>
      <w:kern w:val="2"/>
      <w:sz w:val="18"/>
      <w:szCs w:val="18"/>
      <w:lang w:val="en-US"/>
    </w:rPr>
  </w:style>
  <w:style w:type="character" w:styleId="Hyperlink">
    <w:name w:val="Hyperlink"/>
    <w:uiPriority w:val="99"/>
    <w:unhideWhenUsed/>
    <w:rsid w:val="008B1189"/>
    <w:rPr>
      <w:color w:val="0563C1"/>
      <w:u w:val="single"/>
    </w:rPr>
  </w:style>
  <w:style w:type="paragraph" w:styleId="Funotentext">
    <w:name w:val="footnote text"/>
    <w:aliases w:val="II,fußn,脚注文本 Char Char Char Char Char Char Char Char Char Char Char Char Char Char Char Char Char Char Char Char Char Char Char Char Char Char Char Char Char Char Char"/>
    <w:basedOn w:val="Standard"/>
    <w:link w:val="FunotentextZchn"/>
    <w:qFormat/>
    <w:rsid w:val="008B1189"/>
    <w:pPr>
      <w:snapToGrid w:val="0"/>
      <w:jc w:val="left"/>
    </w:pPr>
    <w:rPr>
      <w:rFonts w:ascii="Times New Roman" w:hAnsi="Times New Roman"/>
      <w:sz w:val="18"/>
      <w:szCs w:val="18"/>
    </w:rPr>
  </w:style>
  <w:style w:type="character" w:customStyle="1" w:styleId="FunotentextZchn">
    <w:name w:val="Fußnotentext Zchn"/>
    <w:aliases w:val="II Zchn,fußn Zchn,脚注文本 Char Char Char Char Char Char Char Char Char Char Char Char Char Char Char Char Char Char Char Char Char Char Char Char Char Char Char Char Char Char Char Zchn"/>
    <w:basedOn w:val="Absatz-Standardschriftart"/>
    <w:link w:val="Funotentext"/>
    <w:qFormat/>
    <w:rsid w:val="008B1189"/>
    <w:rPr>
      <w:rFonts w:ascii="Times New Roman" w:eastAsia="SimSun" w:hAnsi="Times New Roman" w:cs="Times New Roman"/>
      <w:kern w:val="2"/>
      <w:sz w:val="18"/>
      <w:szCs w:val="18"/>
      <w:lang w:val="en-US"/>
    </w:rPr>
  </w:style>
  <w:style w:type="character" w:styleId="Funotenzeichen">
    <w:name w:val="footnote reference"/>
    <w:aliases w:val="Fußnotenzeichenbuch,Reference number style"/>
    <w:qFormat/>
    <w:rsid w:val="008B1189"/>
    <w:rPr>
      <w:vertAlign w:val="superscript"/>
    </w:rPr>
  </w:style>
  <w:style w:type="paragraph" w:styleId="NurText">
    <w:name w:val="Plain Text"/>
    <w:basedOn w:val="Standard"/>
    <w:link w:val="NurTextZchn"/>
    <w:rsid w:val="008B1189"/>
    <w:rPr>
      <w:rFonts w:ascii="SimSun" w:hAnsi="Courier New"/>
      <w:szCs w:val="20"/>
      <w:lang w:val="x-none" w:eastAsia="x-none"/>
    </w:rPr>
  </w:style>
  <w:style w:type="character" w:customStyle="1" w:styleId="NurTextZchn">
    <w:name w:val="Nur Text Zchn"/>
    <w:basedOn w:val="Absatz-Standardschriftart"/>
    <w:link w:val="NurText"/>
    <w:rsid w:val="008B1189"/>
    <w:rPr>
      <w:rFonts w:ascii="SimSun" w:eastAsia="SimSun" w:hAnsi="Courier New" w:cs="Times New Roman"/>
      <w:kern w:val="2"/>
      <w:sz w:val="21"/>
      <w:szCs w:val="20"/>
      <w:lang w:val="x-none" w:eastAsia="x-none"/>
    </w:rPr>
  </w:style>
  <w:style w:type="character" w:styleId="Zeilennummer">
    <w:name w:val="line number"/>
    <w:basedOn w:val="Absatz-Standardschriftart"/>
    <w:uiPriority w:val="99"/>
    <w:semiHidden/>
    <w:unhideWhenUsed/>
    <w:rsid w:val="0078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1813</Words>
  <Characters>11427</Characters>
  <Application>Microsoft Office Word</Application>
  <DocSecurity>0</DocSecurity>
  <Lines>95</Lines>
  <Paragraphs>26</Paragraphs>
  <ScaleCrop>false</ScaleCrop>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2022-05-30T20:38:00Z</dcterms:created>
  <dcterms:modified xsi:type="dcterms:W3CDTF">2022-05-30T20:43:00Z</dcterms:modified>
</cp:coreProperties>
</file>